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4C58" w:rsidRDefault="00E14C58" w:rsidP="00157197">
      <w:pPr>
        <w:tabs>
          <w:tab w:val="center" w:pos="4536"/>
          <w:tab w:val="right" w:pos="8080"/>
          <w:tab w:val="right" w:pos="9639"/>
        </w:tabs>
        <w:spacing w:after="0"/>
        <w:ind w:right="2"/>
        <w:rPr>
          <w:rFonts w:ascii="Arial" w:hAnsi="Arial" w:cs="Arial"/>
          <w:b/>
          <w:bCs/>
          <w:sz w:val="28"/>
        </w:rPr>
      </w:pPr>
      <w:bookmarkStart w:id="0" w:name="historyclause"/>
      <w:bookmarkStart w:id="1" w:name="_Toc383764588"/>
      <w:r w:rsidRPr="0052548E">
        <w:rPr>
          <w:rFonts w:ascii="Arial" w:hAnsi="Arial" w:cs="Arial"/>
          <w:b/>
          <w:bCs/>
          <w:sz w:val="28"/>
        </w:rPr>
        <w:t xml:space="preserve">3GPP TSG RAN WG1 </w:t>
      </w:r>
      <w:r w:rsidR="000227BE">
        <w:rPr>
          <w:rFonts w:ascii="Arial" w:hAnsi="Arial" w:cs="Arial"/>
          <w:b/>
          <w:bCs/>
          <w:sz w:val="28"/>
        </w:rPr>
        <w:t>#9</w:t>
      </w:r>
      <w:r w:rsidR="00395C3F">
        <w:rPr>
          <w:rFonts w:ascii="Arial" w:hAnsi="Arial" w:cs="Arial"/>
          <w:b/>
          <w:bCs/>
          <w:sz w:val="28"/>
        </w:rPr>
        <w:t>8</w:t>
      </w:r>
      <w:r>
        <w:rPr>
          <w:rFonts w:ascii="Arial" w:eastAsia="MS Mincho" w:hAnsi="Arial" w:cs="Arial"/>
          <w:b/>
          <w:bCs/>
          <w:sz w:val="28"/>
          <w:lang w:eastAsia="ja-JP"/>
        </w:rPr>
        <w:tab/>
      </w:r>
      <w:r>
        <w:rPr>
          <w:rFonts w:ascii="Arial" w:hAnsi="Arial" w:cs="Arial"/>
          <w:b/>
          <w:bCs/>
          <w:sz w:val="28"/>
        </w:rPr>
        <w:tab/>
      </w:r>
      <w:r w:rsidR="00772821">
        <w:rPr>
          <w:rFonts w:ascii="Arial" w:hAnsi="Arial" w:cs="Arial"/>
          <w:b/>
          <w:bCs/>
          <w:sz w:val="28"/>
        </w:rPr>
        <w:tab/>
      </w:r>
      <w:r w:rsidR="00A551C0" w:rsidRPr="00A551C0">
        <w:rPr>
          <w:rFonts w:ascii="Arial" w:hAnsi="Arial" w:cs="Arial"/>
          <w:b/>
          <w:bCs/>
          <w:sz w:val="28"/>
        </w:rPr>
        <w:t>R1-190</w:t>
      </w:r>
      <w:r w:rsidR="00B56B4F">
        <w:rPr>
          <w:rFonts w:ascii="Arial" w:hAnsi="Arial" w:cs="Arial"/>
          <w:b/>
          <w:bCs/>
          <w:sz w:val="28"/>
        </w:rPr>
        <w:t>8</w:t>
      </w:r>
      <w:r w:rsidR="00862B92">
        <w:rPr>
          <w:rFonts w:ascii="Arial" w:hAnsi="Arial" w:cs="Arial"/>
          <w:b/>
          <w:bCs/>
          <w:sz w:val="28"/>
        </w:rPr>
        <w:t>377</w:t>
      </w:r>
    </w:p>
    <w:p w:rsidR="00AC6325" w:rsidRPr="009513AC" w:rsidRDefault="00395C3F" w:rsidP="00AC6325">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Prague</w:t>
      </w:r>
      <w:r w:rsidR="00AC6325">
        <w:rPr>
          <w:rFonts w:ascii="Arial" w:eastAsia="MS Mincho" w:hAnsi="Arial" w:cs="Arial"/>
          <w:b/>
          <w:bCs/>
          <w:sz w:val="28"/>
          <w:lang w:eastAsia="ja-JP"/>
        </w:rPr>
        <w:t xml:space="preserve">, </w:t>
      </w:r>
      <w:r>
        <w:rPr>
          <w:rFonts w:ascii="Arial" w:eastAsia="MS Mincho" w:hAnsi="Arial" w:cs="Arial"/>
          <w:b/>
          <w:bCs/>
          <w:sz w:val="28"/>
          <w:lang w:eastAsia="ja-JP"/>
        </w:rPr>
        <w:t>CZ</w:t>
      </w:r>
      <w:r w:rsidR="00AC6325">
        <w:rPr>
          <w:rFonts w:ascii="Arial" w:eastAsia="MS Mincho" w:hAnsi="Arial" w:cs="Arial"/>
          <w:b/>
          <w:bCs/>
          <w:sz w:val="28"/>
          <w:lang w:eastAsia="ja-JP"/>
        </w:rPr>
        <w:t xml:space="preserve">, </w:t>
      </w:r>
      <w:r>
        <w:rPr>
          <w:rFonts w:ascii="Arial" w:eastAsia="MS Mincho" w:hAnsi="Arial" w:cs="Arial"/>
          <w:b/>
          <w:bCs/>
          <w:sz w:val="28"/>
          <w:lang w:eastAsia="ja-JP"/>
        </w:rPr>
        <w:t>August 26</w:t>
      </w:r>
      <w:r w:rsidR="00AC6325" w:rsidRPr="008F5A33">
        <w:rPr>
          <w:rFonts w:ascii="Arial" w:eastAsia="MS Mincho" w:hAnsi="Arial" w:cs="Arial"/>
          <w:b/>
          <w:bCs/>
          <w:sz w:val="28"/>
          <w:vertAlign w:val="superscript"/>
          <w:lang w:eastAsia="ja-JP"/>
        </w:rPr>
        <w:t>th</w:t>
      </w:r>
      <w:r w:rsidR="00AC6325">
        <w:rPr>
          <w:rFonts w:ascii="Arial" w:eastAsia="MS Mincho" w:hAnsi="Arial" w:cs="Arial"/>
          <w:b/>
          <w:bCs/>
          <w:sz w:val="28"/>
          <w:lang w:eastAsia="ja-JP"/>
        </w:rPr>
        <w:t xml:space="preserve"> – </w:t>
      </w:r>
      <w:r>
        <w:rPr>
          <w:rFonts w:ascii="Arial" w:eastAsia="MS Mincho" w:hAnsi="Arial" w:cs="Arial"/>
          <w:b/>
          <w:bCs/>
          <w:sz w:val="28"/>
          <w:lang w:eastAsia="ja-JP"/>
        </w:rPr>
        <w:t>30</w:t>
      </w:r>
      <w:r w:rsidR="00AC6325" w:rsidRPr="00363679">
        <w:rPr>
          <w:rFonts w:ascii="Arial" w:eastAsia="MS Mincho" w:hAnsi="Arial" w:cs="Arial"/>
          <w:b/>
          <w:bCs/>
          <w:sz w:val="28"/>
          <w:vertAlign w:val="superscript"/>
          <w:lang w:eastAsia="ja-JP"/>
        </w:rPr>
        <w:t>th</w:t>
      </w:r>
      <w:r w:rsidR="00AC6325">
        <w:rPr>
          <w:rFonts w:ascii="Arial" w:eastAsia="MS Mincho" w:hAnsi="Arial" w:cs="Arial"/>
          <w:b/>
          <w:bCs/>
          <w:sz w:val="28"/>
          <w:lang w:eastAsia="ja-JP"/>
        </w:rPr>
        <w:t>, 2019</w:t>
      </w:r>
    </w:p>
    <w:p w:rsidR="00E14C58" w:rsidRPr="006517D0" w:rsidRDefault="00E14C58" w:rsidP="00E14C58">
      <w:pPr>
        <w:pStyle w:val="Header"/>
        <w:tabs>
          <w:tab w:val="center" w:pos="4536"/>
          <w:tab w:val="right" w:pos="8280"/>
          <w:tab w:val="right" w:pos="9781"/>
        </w:tabs>
        <w:spacing w:beforeLines="100" w:before="240"/>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3C05F2">
        <w:rPr>
          <w:rFonts w:cs="Arial"/>
          <w:bCs/>
          <w:sz w:val="28"/>
          <w:szCs w:val="24"/>
          <w:lang w:val="en-US" w:eastAsia="zh-TW"/>
        </w:rPr>
        <w:t>7.</w:t>
      </w:r>
      <w:r w:rsidR="00862B92">
        <w:rPr>
          <w:rFonts w:cs="Arial"/>
          <w:bCs/>
          <w:sz w:val="28"/>
          <w:szCs w:val="24"/>
          <w:lang w:val="en-US" w:eastAsia="zh-TW"/>
        </w:rPr>
        <w:t>1</w:t>
      </w:r>
      <w:r w:rsidR="00A551C0" w:rsidRPr="00A551C0">
        <w:rPr>
          <w:rFonts w:cs="Arial"/>
          <w:bCs/>
          <w:sz w:val="28"/>
          <w:szCs w:val="24"/>
          <w:lang w:val="en-US" w:eastAsia="zh-TW"/>
        </w:rPr>
        <w:t>.</w:t>
      </w:r>
      <w:r w:rsidR="00862B92">
        <w:rPr>
          <w:rFonts w:cs="Arial"/>
          <w:bCs/>
          <w:sz w:val="28"/>
          <w:szCs w:val="24"/>
          <w:lang w:val="en-US" w:eastAsia="zh-TW"/>
        </w:rPr>
        <w:t>6</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AE29DF" w:rsidRDefault="006517D0" w:rsidP="006517D0">
      <w:pPr>
        <w:pStyle w:val="Header"/>
        <w:tabs>
          <w:tab w:val="center" w:pos="4536"/>
          <w:tab w:val="right" w:pos="8280"/>
          <w:tab w:val="right" w:pos="9781"/>
        </w:tabs>
        <w:ind w:left="770" w:right="-58" w:hanging="770"/>
        <w:rPr>
          <w:rFonts w:eastAsiaTheme="minorEastAsia"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862B92">
        <w:rPr>
          <w:rFonts w:eastAsia="MS Mincho" w:cs="Arial"/>
          <w:bCs/>
          <w:sz w:val="28"/>
          <w:szCs w:val="24"/>
          <w:lang w:val="en-US"/>
        </w:rPr>
        <w:t>Remaining issues on UE features</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p>
    <w:p w:rsidR="006517D0" w:rsidRPr="00C10411" w:rsidRDefault="00807D4E" w:rsidP="00807D4E">
      <w:pPr>
        <w:pStyle w:val="Heading1"/>
      </w:pPr>
      <w:r>
        <w:rPr>
          <w:rFonts w:hint="eastAsia"/>
          <w:lang w:eastAsia="zh-TW"/>
        </w:rPr>
        <w:t>Introduction</w:t>
      </w:r>
    </w:p>
    <w:p w:rsidR="003C05F2" w:rsidRPr="001D5E32" w:rsidRDefault="001D5E32" w:rsidP="001D5E32">
      <w:pPr>
        <w:pStyle w:val="Header"/>
        <w:tabs>
          <w:tab w:val="center" w:pos="4536"/>
          <w:tab w:val="right" w:pos="8280"/>
          <w:tab w:val="right" w:pos="9781"/>
        </w:tabs>
        <w:ind w:right="-57"/>
        <w:jc w:val="both"/>
        <w:rPr>
          <w:rFonts w:ascii="Times New Roman" w:hAnsi="Times New Roman"/>
          <w:b w:val="0"/>
          <w:bCs/>
          <w:sz w:val="20"/>
          <w:lang w:eastAsia="zh-TW"/>
        </w:rPr>
      </w:pPr>
      <w:r>
        <w:rPr>
          <w:rFonts w:ascii="Times New Roman" w:hAnsi="Times New Roman"/>
          <w:b w:val="0"/>
          <w:bCs/>
          <w:sz w:val="20"/>
          <w:lang w:val="en-US" w:eastAsia="zh-TW"/>
        </w:rPr>
        <w:t xml:space="preserve">In this contribution, we provide proposals </w:t>
      </w:r>
      <w:r w:rsidR="00684B29">
        <w:rPr>
          <w:rFonts w:ascii="Times New Roman" w:hAnsi="Times New Roman"/>
          <w:b w:val="0"/>
          <w:bCs/>
          <w:sz w:val="20"/>
          <w:lang w:val="en-US" w:eastAsia="zh-TW"/>
        </w:rPr>
        <w:t>for</w:t>
      </w:r>
      <w:r>
        <w:rPr>
          <w:rFonts w:ascii="Times New Roman" w:hAnsi="Times New Roman"/>
          <w:b w:val="0"/>
          <w:bCs/>
          <w:sz w:val="20"/>
          <w:lang w:val="en-US" w:eastAsia="zh-TW"/>
        </w:rPr>
        <w:t xml:space="preserve"> </w:t>
      </w:r>
      <w:r w:rsidR="00684B29">
        <w:rPr>
          <w:rFonts w:ascii="Times New Roman" w:hAnsi="Times New Roman"/>
          <w:b w:val="0"/>
          <w:bCs/>
          <w:sz w:val="20"/>
          <w:lang w:val="en-US" w:eastAsia="zh-TW"/>
        </w:rPr>
        <w:t xml:space="preserve">the modification of </w:t>
      </w:r>
      <w:r>
        <w:rPr>
          <w:rFonts w:ascii="Times New Roman" w:hAnsi="Times New Roman"/>
          <w:b w:val="0"/>
          <w:bCs/>
          <w:sz w:val="20"/>
          <w:lang w:val="en-US" w:eastAsia="zh-TW"/>
        </w:rPr>
        <w:t xml:space="preserve">FG 3-5b and FG 6-25 in the latest R-15 NR UE feature list.  </w:t>
      </w:r>
    </w:p>
    <w:p w:rsidR="00807D4E" w:rsidRDefault="000D48AF" w:rsidP="007E6C87">
      <w:pPr>
        <w:pStyle w:val="Heading1"/>
        <w:rPr>
          <w:lang w:eastAsia="zh-TW"/>
        </w:rPr>
      </w:pPr>
      <w:r>
        <w:rPr>
          <w:lang w:eastAsia="zh-TW"/>
        </w:rPr>
        <w:t>FG 3-5b</w:t>
      </w:r>
      <w:r w:rsidR="001D5E32">
        <w:rPr>
          <w:lang w:eastAsia="zh-TW"/>
        </w:rPr>
        <w:t xml:space="preserve">: </w:t>
      </w:r>
      <w:r w:rsidR="001D5E32" w:rsidRPr="001D5E32">
        <w:rPr>
          <w:lang w:eastAsia="zh-TW"/>
        </w:rPr>
        <w:t>PDCCH monitoring occasion</w:t>
      </w:r>
      <w:r w:rsidR="001D5E32">
        <w:rPr>
          <w:lang w:eastAsia="zh-TW"/>
        </w:rPr>
        <w:t>s</w:t>
      </w:r>
      <w:r w:rsidR="001D5E32" w:rsidRPr="001D5E32">
        <w:rPr>
          <w:lang w:eastAsia="zh-TW"/>
        </w:rPr>
        <w:t xml:space="preserve"> for Case 2 with a span gap</w:t>
      </w:r>
    </w:p>
    <w:p w:rsidR="000D48AF" w:rsidRPr="00EA172C" w:rsidRDefault="004A3227" w:rsidP="00AE29DF">
      <w:pPr>
        <w:jc w:val="both"/>
      </w:pPr>
      <w:r>
        <w:rPr>
          <w:lang w:eastAsia="zh-TW"/>
        </w:rPr>
        <w:t>T</w:t>
      </w:r>
      <w:r w:rsidR="00AE29DF" w:rsidRPr="00EA172C">
        <w:rPr>
          <w:lang w:eastAsia="zh-TW"/>
        </w:rPr>
        <w:t xml:space="preserve">he </w:t>
      </w:r>
      <w:r>
        <w:rPr>
          <w:lang w:eastAsia="zh-TW"/>
        </w:rPr>
        <w:t xml:space="preserve">current </w:t>
      </w:r>
      <w:r w:rsidR="00AE29DF" w:rsidRPr="00EA172C">
        <w:rPr>
          <w:lang w:eastAsia="zh-TW"/>
        </w:rPr>
        <w:t xml:space="preserve">description of </w:t>
      </w:r>
      <w:r w:rsidR="00AE29DF" w:rsidRPr="00EA172C">
        <w:rPr>
          <w:rFonts w:hint="eastAsia"/>
          <w:lang w:eastAsia="zh-TW"/>
        </w:rPr>
        <w:t>FG 3-5b</w:t>
      </w:r>
      <w:r w:rsidR="00AE29DF" w:rsidRPr="00EA172C">
        <w:t xml:space="preserve"> is difficult</w:t>
      </w:r>
      <w:r>
        <w:t xml:space="preserve"> to</w:t>
      </w:r>
      <w:r w:rsidR="00AE29DF" w:rsidRPr="00EA172C">
        <w:t xml:space="preserve"> achieve in some situation</w:t>
      </w:r>
      <w:r w:rsidR="001B50EE" w:rsidRPr="00EA172C">
        <w:t>s</w:t>
      </w:r>
      <w:r w:rsidR="00AE29DF" w:rsidRPr="00EA172C">
        <w:t xml:space="preserve">. For example, consider </w:t>
      </w:r>
      <w:r w:rsidR="001B50EE" w:rsidRPr="00EA172C">
        <w:t>Table 13-15 of TS 38.213, i.e., t</w:t>
      </w:r>
      <w:r w:rsidR="00AE29DF" w:rsidRPr="00EA172C">
        <w:t xml:space="preserve">he PDCCH monitoring occasions for Type0-PDCCH CSS set where the SS/PBCH block and CORESET multiplexing pattern 3 and {SS/PBCH block, PDCCH} SCS {120, 120} kHz. The </w:t>
      </w:r>
      <w:r>
        <w:t xml:space="preserve">corresponding </w:t>
      </w:r>
      <w:r w:rsidR="00AE29DF" w:rsidRPr="00EA172C">
        <w:t xml:space="preserve">monitoring occasions are depicted in Figure 1. </w:t>
      </w:r>
    </w:p>
    <w:p w:rsidR="00AE29DF" w:rsidRPr="00EA172C" w:rsidRDefault="00ED03F4" w:rsidP="00AE29DF">
      <w:pPr>
        <w:spacing w:after="0"/>
        <w:rPr>
          <w:lang w:val="en-US" w:eastAsia="zh-TW"/>
        </w:rPr>
      </w:pPr>
      <w:r>
        <w:rPr>
          <w:noProof/>
          <w:lang w:val="en-US" w:eastAsia="zh-TW"/>
        </w:rPr>
        <w:drawing>
          <wp:inline distT="0" distB="0" distL="0" distR="0">
            <wp:extent cx="6119495" cy="1805305"/>
            <wp:effectExtent l="0" t="0" r="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9495" cy="1805305"/>
                    </a:xfrm>
                    <a:prstGeom prst="rect">
                      <a:avLst/>
                    </a:prstGeom>
                    <a:noFill/>
                    <a:ln>
                      <a:noFill/>
                    </a:ln>
                  </pic:spPr>
                </pic:pic>
              </a:graphicData>
            </a:graphic>
          </wp:inline>
        </w:drawing>
      </w:r>
    </w:p>
    <w:p w:rsidR="00AE29DF" w:rsidRPr="00EA172C" w:rsidRDefault="00AE29DF" w:rsidP="00AE29DF">
      <w:pPr>
        <w:jc w:val="center"/>
        <w:rPr>
          <w:b/>
        </w:rPr>
      </w:pPr>
      <w:r w:rsidRPr="00EA172C">
        <w:rPr>
          <w:b/>
          <w:lang w:val="en-US" w:eastAsia="zh-TW"/>
        </w:rPr>
        <w:t xml:space="preserve">Figure 1. </w:t>
      </w:r>
      <w:r w:rsidRPr="00EA172C">
        <w:rPr>
          <w:b/>
        </w:rPr>
        <w:t>The PDCCH monitoring occasions in Table 13-15 of TS 38.213</w:t>
      </w:r>
    </w:p>
    <w:p w:rsidR="00ED03F4" w:rsidRDefault="00ED03F4" w:rsidP="00AE29DF">
      <w:pPr>
        <w:jc w:val="both"/>
      </w:pPr>
      <w:r w:rsidRPr="00EA172C">
        <w:t>It is difficult to have the same span pattern repeat</w:t>
      </w:r>
      <w:r w:rsidR="00B53129">
        <w:t>s</w:t>
      </w:r>
      <w:bookmarkStart w:id="2" w:name="_GoBack"/>
      <w:bookmarkEnd w:id="2"/>
      <w:r w:rsidRPr="00EA172C">
        <w:t xml:space="preserve"> in every slot. Specifically,</w:t>
      </w:r>
      <w:r w:rsidRPr="00EA172C">
        <w:rPr>
          <w:lang w:val="en-US" w:eastAsia="zh-TW"/>
        </w:rPr>
        <w:t xml:space="preserve"> </w:t>
      </w:r>
      <w:r>
        <w:rPr>
          <w:lang w:val="en-US" w:eastAsia="zh-TW"/>
        </w:rPr>
        <w:t>we assume, in Figure 1, the CORESET duration is 2 OFDM symbols. T</w:t>
      </w:r>
      <w:r w:rsidRPr="00EA172C">
        <w:t>he favourable SSB</w:t>
      </w:r>
      <w:r>
        <w:t xml:space="preserve"> of a UE</w:t>
      </w:r>
      <w:r w:rsidRPr="00EA172C">
        <w:t xml:space="preserve"> </w:t>
      </w:r>
      <w:r>
        <w:t>generally varies</w:t>
      </w:r>
      <w:r w:rsidRPr="00ED03F4">
        <w:t xml:space="preserve"> with time</w:t>
      </w:r>
      <w:r>
        <w:t xml:space="preserve"> as the UE moves</w:t>
      </w:r>
      <w:r w:rsidR="004A3227">
        <w:t xml:space="preserve"> and can be any of the SSBs</w:t>
      </w:r>
      <w:r w:rsidRPr="00ED03F4">
        <w:t>. So, the corresponding PDCCH monitoring occasions for PDCCH Type 0, 0A, and 2 CSS</w:t>
      </w:r>
      <w:r>
        <w:t xml:space="preserve"> configured by MIB</w:t>
      </w:r>
      <w:r w:rsidRPr="00ED03F4">
        <w:t xml:space="preserve"> </w:t>
      </w:r>
      <w:r>
        <w:t>can happen at OFDM symbols 2 to 9 as shown in Figure 2. For a UE reports (X,Y)=(7,3), there is no room for monitoring occasions of PDCCH</w:t>
      </w:r>
      <w:r w:rsidR="004A3227">
        <w:t xml:space="preserve"> Case 2</w:t>
      </w:r>
      <w:r>
        <w:t>. For a UE reports (X,Y)=(4,3)</w:t>
      </w:r>
      <w:r w:rsidR="008B1BA2">
        <w:t xml:space="preserve"> and</w:t>
      </w:r>
      <w:r>
        <w:t xml:space="preserve"> (7,3), Case 2 of PDCCH can only be assigned in OFDM symbols 12 and 13.</w:t>
      </w:r>
    </w:p>
    <w:p w:rsidR="00ED03F4" w:rsidRDefault="00ED03F4" w:rsidP="00ED03F4">
      <w:pPr>
        <w:spacing w:after="0"/>
        <w:jc w:val="center"/>
      </w:pPr>
      <w:r>
        <w:rPr>
          <w:noProof/>
          <w:lang w:val="en-US" w:eastAsia="zh-TW"/>
        </w:rPr>
        <w:drawing>
          <wp:inline distT="0" distB="0" distL="0" distR="0">
            <wp:extent cx="3130062" cy="42731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34236" cy="455192"/>
                    </a:xfrm>
                    <a:prstGeom prst="rect">
                      <a:avLst/>
                    </a:prstGeom>
                    <a:noFill/>
                    <a:ln>
                      <a:noFill/>
                    </a:ln>
                  </pic:spPr>
                </pic:pic>
              </a:graphicData>
            </a:graphic>
          </wp:inline>
        </w:drawing>
      </w:r>
    </w:p>
    <w:p w:rsidR="00ED03F4" w:rsidRPr="00EA172C" w:rsidRDefault="00ED03F4" w:rsidP="00ED03F4">
      <w:pPr>
        <w:jc w:val="center"/>
        <w:rPr>
          <w:b/>
        </w:rPr>
      </w:pPr>
      <w:r w:rsidRPr="00EA172C">
        <w:rPr>
          <w:b/>
          <w:lang w:val="en-US" w:eastAsia="zh-TW"/>
        </w:rPr>
        <w:t xml:space="preserve">Figure </w:t>
      </w:r>
      <w:r>
        <w:rPr>
          <w:b/>
          <w:lang w:val="en-US" w:eastAsia="zh-TW"/>
        </w:rPr>
        <w:t>2</w:t>
      </w:r>
      <w:r w:rsidRPr="00EA172C">
        <w:rPr>
          <w:b/>
          <w:lang w:val="en-US" w:eastAsia="zh-TW"/>
        </w:rPr>
        <w:t xml:space="preserve">. </w:t>
      </w:r>
      <w:r>
        <w:rPr>
          <w:b/>
        </w:rPr>
        <w:t>Pattern of PDCCH monitoring occasions f</w:t>
      </w:r>
      <w:r w:rsidRPr="00ED03F4">
        <w:rPr>
          <w:b/>
        </w:rPr>
        <w:t>or PDCCH Type 0, 0A, and 2 CSS configured by MIB</w:t>
      </w:r>
    </w:p>
    <w:p w:rsidR="001B50EE" w:rsidRPr="00EA172C" w:rsidRDefault="001B50EE" w:rsidP="001B50EE">
      <w:pPr>
        <w:jc w:val="both"/>
      </w:pPr>
      <w:r w:rsidRPr="00EA172C">
        <w:t xml:space="preserve">To get rid of this issue, it is proposed </w:t>
      </w:r>
      <w:r w:rsidR="00EA172C" w:rsidRPr="001D5E32">
        <w:rPr>
          <w:i/>
        </w:rPr>
        <w:t xml:space="preserve">the monitoring occasions for </w:t>
      </w:r>
      <w:r w:rsidR="00151F90">
        <w:rPr>
          <w:i/>
        </w:rPr>
        <w:t xml:space="preserve">PDCCH </w:t>
      </w:r>
      <w:r w:rsidR="00EA172C" w:rsidRPr="001D5E32">
        <w:rPr>
          <w:i/>
        </w:rPr>
        <w:t>Type 0</w:t>
      </w:r>
      <w:r w:rsidR="00151F90">
        <w:rPr>
          <w:i/>
        </w:rPr>
        <w:t>, 0A, and 2</w:t>
      </w:r>
      <w:r w:rsidR="00EA172C" w:rsidRPr="001D5E32">
        <w:rPr>
          <w:i/>
        </w:rPr>
        <w:t xml:space="preserve"> CSS</w:t>
      </w:r>
      <w:r w:rsidR="001D5E32">
        <w:t xml:space="preserve"> </w:t>
      </w:r>
      <w:r w:rsidR="00EA172C" w:rsidRPr="00EA172C">
        <w:t>are not taken into account</w:t>
      </w:r>
      <w:r w:rsidR="00EA172C">
        <w:t xml:space="preserve"> </w:t>
      </w:r>
      <w:r w:rsidR="0019615E">
        <w:t>when</w:t>
      </w:r>
      <w:r w:rsidR="00EA172C">
        <w:t xml:space="preserve"> </w:t>
      </w:r>
      <w:r w:rsidR="0019615E">
        <w:t xml:space="preserve">defining the span gap in </w:t>
      </w:r>
      <w:r w:rsidR="00EA172C">
        <w:t>FG 3-5b</w:t>
      </w:r>
      <w:r w:rsidR="00EA172C" w:rsidRPr="00EA172C">
        <w:t>. Our proposal is given as follows.</w:t>
      </w:r>
    </w:p>
    <w:p w:rsidR="001B50EE" w:rsidRPr="00EA172C" w:rsidRDefault="001B50EE" w:rsidP="001B50EE">
      <w:pPr>
        <w:jc w:val="both"/>
        <w:rPr>
          <w:b/>
          <w:lang w:eastAsia="zh-TW"/>
        </w:rPr>
      </w:pPr>
      <w:r w:rsidRPr="00EA172C">
        <w:rPr>
          <w:b/>
          <w:lang w:eastAsia="zh-TW"/>
        </w:rPr>
        <w:t>Proposal #1: The following modification is made on FG 3-5b.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4"/>
        <w:gridCol w:w="1559"/>
        <w:gridCol w:w="3544"/>
        <w:gridCol w:w="1701"/>
        <w:gridCol w:w="2123"/>
      </w:tblGrid>
      <w:tr w:rsidR="00EE6164" w:rsidRPr="00EA172C" w:rsidTr="001642C2">
        <w:trPr>
          <w:trHeight w:val="978"/>
        </w:trPr>
        <w:tc>
          <w:tcPr>
            <w:tcW w:w="365" w:type="pct"/>
            <w:shd w:val="clear" w:color="auto" w:fill="auto"/>
            <w:vAlign w:val="center"/>
          </w:tcPr>
          <w:p w:rsidR="00EE6164" w:rsidRPr="00EA172C" w:rsidRDefault="00EE6164" w:rsidP="00EE6164">
            <w:pPr>
              <w:snapToGrid w:val="0"/>
              <w:jc w:val="center"/>
              <w:rPr>
                <w:rFonts w:eastAsia="MS PGothic"/>
              </w:rPr>
            </w:pPr>
            <w:r w:rsidRPr="00EA172C">
              <w:rPr>
                <w:rFonts w:eastAsia="MS PGothic"/>
              </w:rPr>
              <w:t>#</w:t>
            </w:r>
          </w:p>
        </w:tc>
        <w:tc>
          <w:tcPr>
            <w:tcW w:w="809" w:type="pct"/>
            <w:shd w:val="clear" w:color="auto" w:fill="auto"/>
            <w:vAlign w:val="center"/>
          </w:tcPr>
          <w:p w:rsidR="00EE6164" w:rsidRPr="00EA172C" w:rsidRDefault="00EE6164" w:rsidP="00EE6164">
            <w:pPr>
              <w:snapToGrid w:val="0"/>
              <w:jc w:val="center"/>
              <w:rPr>
                <w:b/>
              </w:rPr>
            </w:pPr>
            <w:r w:rsidRPr="00EA172C">
              <w:rPr>
                <w:b/>
              </w:rPr>
              <w:t>Feature group</w:t>
            </w:r>
          </w:p>
        </w:tc>
        <w:tc>
          <w:tcPr>
            <w:tcW w:w="1840" w:type="pct"/>
            <w:shd w:val="clear" w:color="auto" w:fill="auto"/>
            <w:vAlign w:val="center"/>
          </w:tcPr>
          <w:p w:rsidR="00EE6164" w:rsidRPr="00EA172C" w:rsidRDefault="00EE6164" w:rsidP="00EE6164">
            <w:pPr>
              <w:snapToGrid w:val="0"/>
              <w:jc w:val="center"/>
              <w:rPr>
                <w:b/>
              </w:rPr>
            </w:pPr>
            <w:r w:rsidRPr="00EA172C">
              <w:rPr>
                <w:b/>
              </w:rPr>
              <w:t>Feature component</w:t>
            </w:r>
          </w:p>
        </w:tc>
        <w:tc>
          <w:tcPr>
            <w:tcW w:w="883" w:type="pct"/>
            <w:shd w:val="clear" w:color="auto" w:fill="auto"/>
            <w:vAlign w:val="center"/>
          </w:tcPr>
          <w:p w:rsidR="00EE6164" w:rsidRPr="00EA172C" w:rsidRDefault="00EE6164" w:rsidP="00EE6164">
            <w:pPr>
              <w:snapToGrid w:val="0"/>
              <w:jc w:val="center"/>
              <w:rPr>
                <w:rFonts w:eastAsia="Malgun Gothic"/>
                <w:b/>
              </w:rPr>
            </w:pPr>
            <w:r w:rsidRPr="00EA172C">
              <w:rPr>
                <w:rFonts w:eastAsia="Malgun Gothic"/>
                <w:b/>
              </w:rPr>
              <w:t>Note</w:t>
            </w:r>
          </w:p>
        </w:tc>
        <w:tc>
          <w:tcPr>
            <w:tcW w:w="1102" w:type="pct"/>
            <w:shd w:val="clear" w:color="000000" w:fill="BFBFBF"/>
            <w:vAlign w:val="center"/>
          </w:tcPr>
          <w:p w:rsidR="00EE6164" w:rsidRPr="00EA172C" w:rsidRDefault="00EE6164" w:rsidP="00EE6164">
            <w:pPr>
              <w:snapToGrid w:val="0"/>
              <w:jc w:val="center"/>
              <w:rPr>
                <w:rFonts w:eastAsia="MS PGothic"/>
                <w:b/>
              </w:rPr>
            </w:pPr>
            <w:r w:rsidRPr="00EA172C">
              <w:rPr>
                <w:rFonts w:eastAsia="MS PGothic"/>
                <w:b/>
              </w:rPr>
              <w:t>RAN WG recommendations</w:t>
            </w:r>
          </w:p>
        </w:tc>
      </w:tr>
      <w:tr w:rsidR="00EA172C" w:rsidRPr="00EA172C" w:rsidTr="001642C2">
        <w:trPr>
          <w:trHeight w:val="978"/>
        </w:trPr>
        <w:tc>
          <w:tcPr>
            <w:tcW w:w="365" w:type="pct"/>
            <w:shd w:val="clear" w:color="auto" w:fill="auto"/>
            <w:vAlign w:val="center"/>
          </w:tcPr>
          <w:p w:rsidR="00EE6164" w:rsidRPr="00EA172C" w:rsidRDefault="00EE6164" w:rsidP="00EE6164">
            <w:pPr>
              <w:snapToGrid w:val="0"/>
              <w:rPr>
                <w:rFonts w:eastAsia="MS PGothic"/>
              </w:rPr>
            </w:pPr>
            <w:r w:rsidRPr="00EA172C">
              <w:rPr>
                <w:rFonts w:eastAsia="MS PGothic"/>
              </w:rPr>
              <w:lastRenderedPageBreak/>
              <w:t>3-5b</w:t>
            </w:r>
          </w:p>
        </w:tc>
        <w:tc>
          <w:tcPr>
            <w:tcW w:w="809" w:type="pct"/>
            <w:shd w:val="clear" w:color="auto" w:fill="auto"/>
            <w:vAlign w:val="center"/>
          </w:tcPr>
          <w:p w:rsidR="00EE6164" w:rsidRPr="00EA172C" w:rsidRDefault="00EE6164" w:rsidP="00EE6164">
            <w:pPr>
              <w:snapToGrid w:val="0"/>
              <w:rPr>
                <w:rFonts w:eastAsia="MS PGothic"/>
                <w:highlight w:val="yellow"/>
              </w:rPr>
            </w:pPr>
            <w:r w:rsidRPr="00EA172C">
              <w:t xml:space="preserve"> All PDCCH monitoring occasion can be any OFDM symbol(s) of a slot for Case 2</w:t>
            </w:r>
            <w:r w:rsidRPr="00EA172C">
              <w:rPr>
                <w:rFonts w:eastAsia="MS PGothic"/>
              </w:rPr>
              <w:t xml:space="preserve"> with a span gap</w:t>
            </w:r>
          </w:p>
        </w:tc>
        <w:tc>
          <w:tcPr>
            <w:tcW w:w="1840" w:type="pct"/>
            <w:shd w:val="clear" w:color="auto" w:fill="auto"/>
            <w:vAlign w:val="center"/>
          </w:tcPr>
          <w:p w:rsidR="00EE6164" w:rsidRPr="00EA172C" w:rsidRDefault="00EE6164" w:rsidP="00EE6164">
            <w:pPr>
              <w:snapToGrid w:val="0"/>
            </w:pPr>
            <w:r w:rsidRPr="00EA172C">
              <w:t xml:space="preserve">PDCCH monitoring occasions of FG-3-1, plus additional  PDCCH monitoring occasion(s) can be any OFDM symbol(s) of a slot for Case 2, and for any two PDCCH monitoring occasions </w:t>
            </w:r>
            <w:r w:rsidR="00D1160F" w:rsidRPr="00D1160F">
              <w:rPr>
                <w:color w:val="0000FF"/>
                <w:u w:val="single"/>
              </w:rPr>
              <w:t>other than the monitoring occasions for PDCCH Type 0, 0A, and 2 CSS</w:t>
            </w:r>
            <w:r w:rsidR="00D1160F">
              <w:rPr>
                <w:color w:val="0000FF"/>
                <w:u w:val="single"/>
              </w:rPr>
              <w:t xml:space="preserve"> </w:t>
            </w:r>
            <w:r w:rsidRPr="00EA172C">
              <w:t>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rsidR="00EE6164" w:rsidRPr="00EA172C" w:rsidRDefault="00EE6164" w:rsidP="00EE6164">
            <w:pPr>
              <w:snapToGrid w:val="0"/>
            </w:pPr>
            <w:r w:rsidRPr="00EA172C">
              <w:t>For the set of monitoring occasions which are within the same span:</w:t>
            </w:r>
          </w:p>
          <w:p w:rsidR="00EE6164" w:rsidRPr="00EA172C" w:rsidRDefault="00EE6164" w:rsidP="00EE6164">
            <w:pPr>
              <w:pStyle w:val="ListParagraph"/>
              <w:widowControl w:val="0"/>
              <w:numPr>
                <w:ilvl w:val="0"/>
                <w:numId w:val="18"/>
              </w:numPr>
              <w:snapToGrid w:val="0"/>
              <w:spacing w:after="0"/>
              <w:jc w:val="both"/>
            </w:pPr>
            <w:r w:rsidRPr="00EA172C">
              <w:t>Processing one unicast DCI scheduling DL and one unicast DCI scheduling UL per scheduled CC across this set of monitoring occasions for FDD</w:t>
            </w:r>
          </w:p>
          <w:p w:rsidR="00EE6164" w:rsidRPr="00EA172C" w:rsidRDefault="00EE6164" w:rsidP="00EE6164">
            <w:pPr>
              <w:pStyle w:val="ListParagraph"/>
              <w:widowControl w:val="0"/>
              <w:numPr>
                <w:ilvl w:val="0"/>
                <w:numId w:val="18"/>
              </w:numPr>
              <w:snapToGrid w:val="0"/>
              <w:spacing w:after="0"/>
              <w:jc w:val="both"/>
            </w:pPr>
            <w:r w:rsidRPr="00EA172C">
              <w:t>Processing one unicast DCI scheduling DL and two unicast DCI scheduling UL per scheduled CC across this set of monitoring occasions for TDD</w:t>
            </w:r>
          </w:p>
          <w:p w:rsidR="00EE6164" w:rsidRPr="00EA172C" w:rsidRDefault="00EE6164" w:rsidP="00EE6164">
            <w:pPr>
              <w:pStyle w:val="ListParagraph"/>
              <w:widowControl w:val="0"/>
              <w:numPr>
                <w:ilvl w:val="0"/>
                <w:numId w:val="18"/>
              </w:numPr>
              <w:snapToGrid w:val="0"/>
              <w:spacing w:after="0"/>
              <w:jc w:val="both"/>
            </w:pPr>
            <w:r w:rsidRPr="00EA172C">
              <w:t xml:space="preserve">Processing two unicast DCI scheduling DL and one unicast DCI scheduling UL per scheduled CC </w:t>
            </w:r>
            <w:r w:rsidRPr="00EA172C">
              <w:lastRenderedPageBreak/>
              <w:t>across this set of monitoring occasions for TDD</w:t>
            </w:r>
          </w:p>
          <w:p w:rsidR="00EE6164" w:rsidRPr="00EA172C" w:rsidRDefault="00EE6164" w:rsidP="00EE6164">
            <w:pPr>
              <w:snapToGrid w:val="0"/>
            </w:pPr>
            <w:r w:rsidRPr="00EA172C">
              <w:t>The number of different start symbol indices of spans for all PDCCH monitoring occasions per slot, including PDCCH monitoring occasions of FG-3-1, is no more than floor(14/X) (X is minimum among values reported by UE).</w:t>
            </w:r>
          </w:p>
          <w:p w:rsidR="00EE6164" w:rsidRPr="00EA172C" w:rsidRDefault="00EE6164" w:rsidP="00EE6164">
            <w:pPr>
              <w:snapToGrid w:val="0"/>
            </w:pPr>
            <w:r w:rsidRPr="00EA172C">
              <w:t>The number of different start symbol indices of PDCCH monitoring occasions per slot including PDCCH monitoring occasions of FG-3-1, is no more than 7.</w:t>
            </w:r>
          </w:p>
          <w:p w:rsidR="00EE6164" w:rsidRPr="00EA172C" w:rsidRDefault="00EE6164" w:rsidP="00EE6164">
            <w:pPr>
              <w:snapToGrid w:val="0"/>
              <w:rPr>
                <w:rFonts w:eastAsia="MS PGothic"/>
              </w:rPr>
            </w:pPr>
            <w:r w:rsidRPr="00EA172C">
              <w:t>The number of different start symbol indices of PDCCH monitoring occasions per half-slot including PDCCH monitoring occasions of FG-3-1 is no more than 4 in SCell.</w:t>
            </w:r>
          </w:p>
        </w:tc>
        <w:tc>
          <w:tcPr>
            <w:tcW w:w="883" w:type="pct"/>
            <w:shd w:val="clear" w:color="auto" w:fill="auto"/>
            <w:vAlign w:val="center"/>
          </w:tcPr>
          <w:p w:rsidR="00EE6164" w:rsidRPr="00EA172C" w:rsidRDefault="00EE6164" w:rsidP="00EE6164">
            <w:pPr>
              <w:snapToGrid w:val="0"/>
            </w:pPr>
            <w:r w:rsidRPr="00EA172C">
              <w:lastRenderedPageBreak/>
              <w:t>This capability is necessary for each SCS.</w:t>
            </w:r>
          </w:p>
        </w:tc>
        <w:tc>
          <w:tcPr>
            <w:tcW w:w="1102" w:type="pct"/>
            <w:shd w:val="clear" w:color="000000" w:fill="BFBFBF"/>
            <w:vAlign w:val="center"/>
          </w:tcPr>
          <w:p w:rsidR="00EE6164" w:rsidRPr="00EA172C" w:rsidRDefault="00EE6164" w:rsidP="00EE6164">
            <w:pPr>
              <w:snapToGrid w:val="0"/>
            </w:pPr>
            <w:r w:rsidRPr="00EA172C">
              <w:t>Optional with capability signaling</w:t>
            </w:r>
          </w:p>
          <w:p w:rsidR="00EE6164" w:rsidRPr="00EA172C" w:rsidRDefault="00EE6164" w:rsidP="00EE6164">
            <w:pPr>
              <w:snapToGrid w:val="0"/>
            </w:pPr>
          </w:p>
          <w:p w:rsidR="00EE6164" w:rsidRPr="00EA172C" w:rsidRDefault="00EE6164" w:rsidP="00EE6164">
            <w:pPr>
              <w:snapToGrid w:val="0"/>
            </w:pPr>
            <w:r w:rsidRPr="00EA172C">
              <w:t>Candidate value set for (X, Y):</w:t>
            </w:r>
          </w:p>
          <w:p w:rsidR="00EE6164" w:rsidRPr="00EA172C" w:rsidRDefault="00EE6164" w:rsidP="00EE6164">
            <w:pPr>
              <w:snapToGrid w:val="0"/>
            </w:pPr>
            <w:r w:rsidRPr="00EA172C">
              <w:t xml:space="preserve">{(7, 3), </w:t>
            </w:r>
          </w:p>
          <w:p w:rsidR="00EE6164" w:rsidRPr="00EA172C" w:rsidRDefault="00EE6164" w:rsidP="00EE6164">
            <w:pPr>
              <w:snapToGrid w:val="0"/>
            </w:pPr>
            <w:r w:rsidRPr="00EA172C">
              <w:t xml:space="preserve">(4, 3) and (7, 3), </w:t>
            </w:r>
          </w:p>
          <w:p w:rsidR="00EE6164" w:rsidRPr="00EA172C" w:rsidRDefault="00EE6164" w:rsidP="00EE6164">
            <w:pPr>
              <w:snapToGrid w:val="0"/>
              <w:rPr>
                <w:rFonts w:eastAsia="MS PGothic"/>
              </w:rPr>
            </w:pPr>
            <w:r w:rsidRPr="00EA172C">
              <w:t>(2, 2) and (4, 3) and (7, 3)}</w:t>
            </w:r>
          </w:p>
        </w:tc>
      </w:tr>
    </w:tbl>
    <w:p w:rsidR="000D48AF" w:rsidRDefault="000D48AF" w:rsidP="005B2165">
      <w:pPr>
        <w:pStyle w:val="Heading1"/>
        <w:spacing w:before="480"/>
      </w:pPr>
      <w:r>
        <w:rPr>
          <w:lang w:eastAsia="zh-TW"/>
        </w:rPr>
        <w:t>FG 6-25</w:t>
      </w:r>
      <w:r w:rsidR="001D5E32">
        <w:rPr>
          <w:lang w:eastAsia="zh-TW"/>
        </w:rPr>
        <w:t xml:space="preserve">: </w:t>
      </w:r>
      <w:r w:rsidR="001D5E32" w:rsidRPr="009B72FA">
        <w:rPr>
          <w:rFonts w:hint="eastAsia"/>
        </w:rPr>
        <w:t>S</w:t>
      </w:r>
      <w:r w:rsidR="001D5E32" w:rsidRPr="009B72FA">
        <w:t xml:space="preserve">upport of synchronous NR-NR DC operation </w:t>
      </w:r>
    </w:p>
    <w:p w:rsidR="007935B5" w:rsidRDefault="007935B5" w:rsidP="00AE29DF">
      <w:pPr>
        <w:jc w:val="both"/>
        <w:rPr>
          <w:lang w:eastAsia="zh-TW"/>
        </w:rPr>
      </w:pPr>
      <w:r>
        <w:rPr>
          <w:lang w:eastAsia="zh-TW"/>
        </w:rPr>
        <w:t>In RP-181473 “</w:t>
      </w:r>
      <w:r w:rsidRPr="007935B5">
        <w:rPr>
          <w:lang w:eastAsia="zh-TW"/>
        </w:rPr>
        <w:t>Rel-15 Work Item Exception for New Radio Access Technology</w:t>
      </w:r>
      <w:r w:rsidRPr="007935B5">
        <w:rPr>
          <w:rFonts w:hint="eastAsia"/>
          <w:lang w:eastAsia="zh-TW"/>
        </w:rPr>
        <w:t xml:space="preserve"> </w:t>
      </w:r>
      <w:r w:rsidRPr="007935B5">
        <w:rPr>
          <w:lang w:eastAsia="zh-TW"/>
        </w:rPr>
        <w:t>–</w:t>
      </w:r>
      <w:r w:rsidRPr="007935B5">
        <w:rPr>
          <w:rFonts w:hint="eastAsia"/>
          <w:lang w:eastAsia="zh-TW"/>
        </w:rPr>
        <w:t xml:space="preserve"> Core</w:t>
      </w:r>
      <w:r>
        <w:rPr>
          <w:lang w:eastAsia="zh-TW"/>
        </w:rPr>
        <w:t>”</w:t>
      </w:r>
      <w:r w:rsidRPr="007935B5">
        <w:rPr>
          <w:lang w:eastAsia="zh-TW"/>
        </w:rPr>
        <w:t>,</w:t>
      </w:r>
      <w:r>
        <w:rPr>
          <w:lang w:eastAsia="zh-TW"/>
        </w:rPr>
        <w:t xml:space="preserve"> t</w:t>
      </w:r>
      <w:r w:rsidRPr="007935B5">
        <w:t xml:space="preserve">ask(s) within </w:t>
      </w:r>
      <w:r>
        <w:t>WI</w:t>
      </w:r>
      <w:r w:rsidRPr="007935B5">
        <w:t xml:space="preserve"> which are not complete</w:t>
      </w:r>
      <w:r>
        <w:t xml:space="preserve"> are identified. In RAN#80, 3 months exception was granted for the tasks.  </w:t>
      </w:r>
    </w:p>
    <w:tbl>
      <w:tblPr>
        <w:tblStyle w:val="TableGrid"/>
        <w:tblW w:w="0" w:type="auto"/>
        <w:tblLook w:val="04A0" w:firstRow="1" w:lastRow="0" w:firstColumn="1" w:lastColumn="0" w:noHBand="0" w:noVBand="1"/>
      </w:tblPr>
      <w:tblGrid>
        <w:gridCol w:w="9631"/>
      </w:tblGrid>
      <w:tr w:rsidR="007935B5" w:rsidTr="007935B5">
        <w:tc>
          <w:tcPr>
            <w:tcW w:w="9631" w:type="dxa"/>
          </w:tcPr>
          <w:p w:rsidR="007935B5" w:rsidRPr="007935B5" w:rsidRDefault="007935B5" w:rsidP="007935B5">
            <w:pPr>
              <w:spacing w:before="120" w:after="0"/>
              <w:rPr>
                <w:b/>
                <w:bCs/>
                <w:lang w:val="en-US" w:eastAsia="ja-JP"/>
              </w:rPr>
            </w:pPr>
            <w:r w:rsidRPr="007935B5">
              <w:rPr>
                <w:b/>
                <w:bCs/>
                <w:lang w:val="en-US" w:eastAsia="ja-JP"/>
              </w:rPr>
              <w:t>(from RP-181473)</w:t>
            </w:r>
          </w:p>
          <w:p w:rsidR="007935B5" w:rsidRPr="000B4F3A" w:rsidRDefault="007935B5" w:rsidP="007935B5">
            <w:pPr>
              <w:spacing w:before="120" w:after="0"/>
              <w:rPr>
                <w:rFonts w:ascii="Arial" w:hAnsi="Arial" w:cs="Arial"/>
                <w:lang w:eastAsia="ja-JP"/>
              </w:rPr>
            </w:pPr>
            <w:r>
              <w:rPr>
                <w:rFonts w:hint="eastAsia"/>
                <w:bCs/>
                <w:lang w:val="en-US" w:eastAsia="ja-JP"/>
              </w:rPr>
              <w:t>Further details for each WG are shown in below</w:t>
            </w:r>
          </w:p>
          <w:p w:rsidR="007935B5" w:rsidRPr="000B4F3A" w:rsidRDefault="007935B5" w:rsidP="007935B5">
            <w:pPr>
              <w:pStyle w:val="Index1"/>
              <w:numPr>
                <w:ilvl w:val="0"/>
                <w:numId w:val="17"/>
              </w:numPr>
              <w:overflowPunct w:val="0"/>
              <w:autoSpaceDE w:val="0"/>
              <w:autoSpaceDN w:val="0"/>
              <w:adjustRightInd w:val="0"/>
              <w:textAlignment w:val="baseline"/>
              <w:rPr>
                <w:bCs/>
                <w:lang w:eastAsia="ja-JP"/>
              </w:rPr>
            </w:pPr>
            <w:r w:rsidRPr="000B4F3A">
              <w:rPr>
                <w:rFonts w:hint="eastAsia"/>
                <w:bCs/>
                <w:lang w:eastAsia="ja-JP"/>
              </w:rPr>
              <w:t>RAN1</w:t>
            </w:r>
          </w:p>
          <w:p w:rsidR="007935B5" w:rsidRPr="000B4F3A" w:rsidRDefault="007935B5" w:rsidP="007935B5">
            <w:pPr>
              <w:pStyle w:val="Index1"/>
              <w:numPr>
                <w:ilvl w:val="1"/>
                <w:numId w:val="17"/>
              </w:numPr>
              <w:overflowPunct w:val="0"/>
              <w:autoSpaceDE w:val="0"/>
              <w:autoSpaceDN w:val="0"/>
              <w:adjustRightInd w:val="0"/>
              <w:textAlignment w:val="baseline"/>
              <w:rPr>
                <w:bCs/>
                <w:lang w:eastAsia="ja-JP"/>
              </w:rPr>
            </w:pPr>
            <w:r w:rsidRPr="000B4F3A">
              <w:rPr>
                <w:rFonts w:hint="eastAsia"/>
                <w:bCs/>
                <w:lang w:eastAsia="ja-JP"/>
              </w:rPr>
              <w:t>Option 4:</w:t>
            </w:r>
          </w:p>
          <w:p w:rsidR="007935B5" w:rsidRPr="000B4F3A" w:rsidRDefault="007935B5" w:rsidP="007935B5">
            <w:pPr>
              <w:pStyle w:val="Index1"/>
              <w:numPr>
                <w:ilvl w:val="2"/>
                <w:numId w:val="17"/>
              </w:numPr>
              <w:overflowPunct w:val="0"/>
              <w:autoSpaceDE w:val="0"/>
              <w:autoSpaceDN w:val="0"/>
              <w:adjustRightInd w:val="0"/>
              <w:textAlignment w:val="baseline"/>
              <w:rPr>
                <w:bCs/>
                <w:lang w:eastAsia="ja-JP"/>
              </w:rPr>
            </w:pPr>
            <w:r>
              <w:rPr>
                <w:rFonts w:hint="eastAsia"/>
                <w:bCs/>
                <w:lang w:eastAsia="ja-JP"/>
              </w:rPr>
              <w:t>E</w:t>
            </w:r>
            <w:r w:rsidRPr="000B4F3A">
              <w:rPr>
                <w:bCs/>
                <w:lang w:eastAsia="ja-JP"/>
              </w:rPr>
              <w:t>valuate whether new design on power control, multiplexing, etc. for both LTE &amp; NR specs</w:t>
            </w:r>
          </w:p>
          <w:p w:rsidR="007935B5" w:rsidRPr="000B4F3A" w:rsidRDefault="007935B5" w:rsidP="007935B5">
            <w:pPr>
              <w:pStyle w:val="Index1"/>
              <w:numPr>
                <w:ilvl w:val="3"/>
                <w:numId w:val="17"/>
              </w:numPr>
              <w:overflowPunct w:val="0"/>
              <w:autoSpaceDE w:val="0"/>
              <w:autoSpaceDN w:val="0"/>
              <w:adjustRightInd w:val="0"/>
              <w:textAlignment w:val="baseline"/>
              <w:rPr>
                <w:bCs/>
                <w:lang w:eastAsia="ja-JP"/>
              </w:rPr>
            </w:pPr>
            <w:r w:rsidRPr="000B4F3A">
              <w:rPr>
                <w:bCs/>
                <w:lang w:eastAsia="ja-JP"/>
              </w:rPr>
              <w:t>Strive for minimum RAN1 specification impact</w:t>
            </w:r>
          </w:p>
          <w:p w:rsidR="007935B5" w:rsidRDefault="007935B5" w:rsidP="007935B5">
            <w:pPr>
              <w:pStyle w:val="Index1"/>
              <w:numPr>
                <w:ilvl w:val="3"/>
                <w:numId w:val="17"/>
              </w:numPr>
              <w:overflowPunct w:val="0"/>
              <w:autoSpaceDE w:val="0"/>
              <w:autoSpaceDN w:val="0"/>
              <w:adjustRightInd w:val="0"/>
              <w:textAlignment w:val="baseline"/>
              <w:rPr>
                <w:bCs/>
                <w:lang w:eastAsia="ja-JP"/>
              </w:rPr>
            </w:pPr>
            <w:r w:rsidRPr="000B4F3A">
              <w:rPr>
                <w:bCs/>
                <w:lang w:eastAsia="ja-JP"/>
              </w:rPr>
              <w:t>Some (limited) RAN1 meeting time is expected</w:t>
            </w:r>
          </w:p>
          <w:p w:rsidR="007935B5" w:rsidRDefault="007935B5" w:rsidP="007935B5">
            <w:pPr>
              <w:pStyle w:val="Index1"/>
              <w:numPr>
                <w:ilvl w:val="1"/>
                <w:numId w:val="17"/>
              </w:numPr>
              <w:overflowPunct w:val="0"/>
              <w:autoSpaceDE w:val="0"/>
              <w:autoSpaceDN w:val="0"/>
              <w:adjustRightInd w:val="0"/>
              <w:textAlignment w:val="baseline"/>
              <w:rPr>
                <w:bCs/>
                <w:lang w:eastAsia="ja-JP"/>
              </w:rPr>
            </w:pPr>
            <w:r>
              <w:rPr>
                <w:rFonts w:hint="eastAsia"/>
                <w:bCs/>
                <w:lang w:eastAsia="ja-JP"/>
              </w:rPr>
              <w:t>NR-NR Dual Connectivity</w:t>
            </w:r>
          </w:p>
          <w:p w:rsidR="007935B5" w:rsidRDefault="007935B5" w:rsidP="007935B5">
            <w:pPr>
              <w:pStyle w:val="Index1"/>
              <w:numPr>
                <w:ilvl w:val="2"/>
                <w:numId w:val="17"/>
              </w:numPr>
              <w:overflowPunct w:val="0"/>
              <w:autoSpaceDE w:val="0"/>
              <w:autoSpaceDN w:val="0"/>
              <w:adjustRightInd w:val="0"/>
              <w:textAlignment w:val="baseline"/>
              <w:rPr>
                <w:bCs/>
                <w:lang w:eastAsia="ja-JP"/>
              </w:rPr>
            </w:pPr>
            <w:r>
              <w:rPr>
                <w:bCs/>
                <w:lang w:eastAsia="ja-JP"/>
              </w:rPr>
              <w:t>Synchronous operation</w:t>
            </w:r>
          </w:p>
          <w:p w:rsidR="007935B5" w:rsidRDefault="007935B5" w:rsidP="007935B5">
            <w:pPr>
              <w:pStyle w:val="Index1"/>
              <w:numPr>
                <w:ilvl w:val="2"/>
                <w:numId w:val="17"/>
              </w:numPr>
              <w:overflowPunct w:val="0"/>
              <w:autoSpaceDE w:val="0"/>
              <w:autoSpaceDN w:val="0"/>
              <w:adjustRightInd w:val="0"/>
              <w:textAlignment w:val="baseline"/>
              <w:rPr>
                <w:bCs/>
                <w:lang w:eastAsia="ja-JP"/>
              </w:rPr>
            </w:pPr>
            <w:r>
              <w:rPr>
                <w:bCs/>
                <w:lang w:eastAsia="ja-JP"/>
              </w:rPr>
              <w:t>Minimum RAN1 impact and no HW impact</w:t>
            </w:r>
          </w:p>
          <w:p w:rsidR="007935B5" w:rsidRDefault="007935B5" w:rsidP="007935B5">
            <w:pPr>
              <w:pStyle w:val="Index1"/>
              <w:numPr>
                <w:ilvl w:val="2"/>
                <w:numId w:val="17"/>
              </w:numPr>
              <w:overflowPunct w:val="0"/>
              <w:autoSpaceDE w:val="0"/>
              <w:autoSpaceDN w:val="0"/>
              <w:adjustRightInd w:val="0"/>
              <w:spacing w:after="120"/>
              <w:textAlignment w:val="baseline"/>
              <w:rPr>
                <w:lang w:eastAsia="zh-TW"/>
              </w:rPr>
            </w:pPr>
            <w:r w:rsidRPr="007935B5">
              <w:rPr>
                <w:rFonts w:hint="eastAsia"/>
                <w:bCs/>
                <w:highlight w:val="yellow"/>
                <w:lang w:eastAsia="ja-JP"/>
              </w:rPr>
              <w:t>N</w:t>
            </w:r>
            <w:r w:rsidRPr="007935B5">
              <w:rPr>
                <w:bCs/>
                <w:highlight w:val="yellow"/>
                <w:lang w:eastAsia="ja-JP"/>
              </w:rPr>
              <w:t>o PUCCH-SCell</w:t>
            </w:r>
          </w:p>
        </w:tc>
      </w:tr>
    </w:tbl>
    <w:p w:rsidR="000D48AF" w:rsidRDefault="007935B5" w:rsidP="004A3227">
      <w:pPr>
        <w:spacing w:before="120" w:after="0"/>
        <w:jc w:val="both"/>
        <w:rPr>
          <w:lang w:eastAsia="zh-TW"/>
        </w:rPr>
      </w:pPr>
      <w:r>
        <w:rPr>
          <w:lang w:eastAsia="zh-TW"/>
        </w:rPr>
        <w:t>It is noted</w:t>
      </w:r>
      <w:r w:rsidR="00B450D1">
        <w:rPr>
          <w:lang w:eastAsia="zh-TW"/>
        </w:rPr>
        <w:t xml:space="preserve"> in RP-181473</w:t>
      </w:r>
      <w:r>
        <w:rPr>
          <w:lang w:eastAsia="zh-TW"/>
        </w:rPr>
        <w:t>, for NR-NR Dual Connectivity, there is no PUCCH-SCell (yellow part above). However, this restriction is not stated in FG 6-25.</w:t>
      </w:r>
      <w:r w:rsidRPr="007935B5">
        <w:rPr>
          <w:lang w:eastAsia="zh-TW"/>
        </w:rPr>
        <w:t xml:space="preserve"> </w:t>
      </w:r>
      <w:r w:rsidR="003D70D3">
        <w:rPr>
          <w:lang w:eastAsia="zh-TW"/>
        </w:rPr>
        <w:t>Our proposal is given in the following.</w:t>
      </w:r>
    </w:p>
    <w:p w:rsidR="009B72FA" w:rsidRPr="007935B5" w:rsidRDefault="007935B5" w:rsidP="00C948E3">
      <w:pPr>
        <w:spacing w:before="240" w:after="120"/>
        <w:rPr>
          <w:b/>
          <w:lang w:eastAsia="zh-TW"/>
        </w:rPr>
      </w:pPr>
      <w:r w:rsidRPr="007935B5">
        <w:rPr>
          <w:b/>
          <w:lang w:eastAsia="zh-TW"/>
        </w:rPr>
        <w:t>Proposal</w:t>
      </w:r>
      <w:r>
        <w:rPr>
          <w:b/>
          <w:lang w:eastAsia="zh-TW"/>
        </w:rPr>
        <w:t xml:space="preserve"> #2</w:t>
      </w:r>
      <w:r w:rsidRPr="007935B5">
        <w:rPr>
          <w:b/>
          <w:lang w:eastAsia="zh-TW"/>
        </w:rPr>
        <w:t>: The following modification is made</w:t>
      </w:r>
      <w:r w:rsidR="00252695">
        <w:rPr>
          <w:b/>
          <w:lang w:eastAsia="zh-TW"/>
        </w:rPr>
        <w:t xml:space="preserve"> on FG 6-25</w:t>
      </w:r>
      <w:r w:rsidRPr="007935B5">
        <w:rPr>
          <w:b/>
          <w:lang w:eastAsia="zh-TW"/>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4"/>
        <w:gridCol w:w="1559"/>
        <w:gridCol w:w="2268"/>
        <w:gridCol w:w="3120"/>
        <w:gridCol w:w="1980"/>
      </w:tblGrid>
      <w:tr w:rsidR="001B50EE" w:rsidRPr="00705BA5" w:rsidTr="001B50EE">
        <w:trPr>
          <w:trHeight w:val="1020"/>
        </w:trPr>
        <w:tc>
          <w:tcPr>
            <w:tcW w:w="365" w:type="pct"/>
            <w:shd w:val="clear" w:color="auto" w:fill="auto"/>
            <w:vAlign w:val="center"/>
          </w:tcPr>
          <w:p w:rsidR="001B50EE" w:rsidRPr="001B50EE" w:rsidRDefault="001B50EE" w:rsidP="001B50EE">
            <w:pPr>
              <w:snapToGrid w:val="0"/>
              <w:jc w:val="center"/>
              <w:rPr>
                <w:rFonts w:eastAsia="MS PGothic"/>
                <w:b/>
              </w:rPr>
            </w:pPr>
            <w:r w:rsidRPr="001B50EE">
              <w:rPr>
                <w:rFonts w:eastAsia="MS PGothic"/>
                <w:b/>
              </w:rPr>
              <w:t>#</w:t>
            </w:r>
          </w:p>
        </w:tc>
        <w:tc>
          <w:tcPr>
            <w:tcW w:w="809" w:type="pct"/>
            <w:shd w:val="clear" w:color="auto" w:fill="auto"/>
            <w:vAlign w:val="center"/>
          </w:tcPr>
          <w:p w:rsidR="001B50EE" w:rsidRPr="001B50EE" w:rsidRDefault="001B50EE" w:rsidP="001B50EE">
            <w:pPr>
              <w:snapToGrid w:val="0"/>
              <w:jc w:val="center"/>
              <w:rPr>
                <w:b/>
              </w:rPr>
            </w:pPr>
            <w:r w:rsidRPr="001B50EE">
              <w:rPr>
                <w:b/>
              </w:rPr>
              <w:t>Feature group</w:t>
            </w:r>
          </w:p>
        </w:tc>
        <w:tc>
          <w:tcPr>
            <w:tcW w:w="1177" w:type="pct"/>
            <w:shd w:val="clear" w:color="auto" w:fill="auto"/>
            <w:vAlign w:val="center"/>
          </w:tcPr>
          <w:p w:rsidR="001B50EE" w:rsidRPr="001B50EE" w:rsidRDefault="001B50EE" w:rsidP="001B50EE">
            <w:pPr>
              <w:snapToGrid w:val="0"/>
              <w:jc w:val="center"/>
              <w:rPr>
                <w:b/>
              </w:rPr>
            </w:pPr>
            <w:r w:rsidRPr="001B50EE">
              <w:rPr>
                <w:b/>
              </w:rPr>
              <w:t>Feature component</w:t>
            </w:r>
          </w:p>
        </w:tc>
        <w:tc>
          <w:tcPr>
            <w:tcW w:w="1620" w:type="pct"/>
            <w:shd w:val="clear" w:color="auto" w:fill="auto"/>
            <w:vAlign w:val="center"/>
          </w:tcPr>
          <w:p w:rsidR="001B50EE" w:rsidRPr="001B50EE" w:rsidRDefault="001B50EE" w:rsidP="001B50EE">
            <w:pPr>
              <w:snapToGrid w:val="0"/>
              <w:jc w:val="center"/>
              <w:rPr>
                <w:rFonts w:eastAsia="Malgun Gothic"/>
                <w:b/>
              </w:rPr>
            </w:pPr>
            <w:r w:rsidRPr="001B50EE">
              <w:rPr>
                <w:rFonts w:eastAsia="Malgun Gothic"/>
                <w:b/>
              </w:rPr>
              <w:t>Note</w:t>
            </w:r>
          </w:p>
        </w:tc>
        <w:tc>
          <w:tcPr>
            <w:tcW w:w="1028" w:type="pct"/>
            <w:shd w:val="clear" w:color="000000" w:fill="BFBFBF"/>
            <w:vAlign w:val="center"/>
          </w:tcPr>
          <w:p w:rsidR="001B50EE" w:rsidRPr="001B50EE" w:rsidRDefault="001B50EE" w:rsidP="001B50EE">
            <w:pPr>
              <w:snapToGrid w:val="0"/>
              <w:jc w:val="center"/>
              <w:rPr>
                <w:rFonts w:eastAsia="MS PGothic"/>
                <w:b/>
              </w:rPr>
            </w:pPr>
            <w:r w:rsidRPr="001B50EE">
              <w:rPr>
                <w:rFonts w:eastAsia="MS PGothic"/>
                <w:b/>
              </w:rPr>
              <w:t>RAN WG recommendations</w:t>
            </w:r>
          </w:p>
        </w:tc>
      </w:tr>
      <w:tr w:rsidR="001B50EE" w:rsidRPr="00705BA5" w:rsidTr="004A3227">
        <w:trPr>
          <w:trHeight w:val="2408"/>
        </w:trPr>
        <w:tc>
          <w:tcPr>
            <w:tcW w:w="365" w:type="pct"/>
            <w:shd w:val="clear" w:color="auto" w:fill="auto"/>
            <w:vAlign w:val="center"/>
          </w:tcPr>
          <w:p w:rsidR="001B50EE" w:rsidRPr="009B72FA" w:rsidRDefault="001B50EE" w:rsidP="001B50EE">
            <w:pPr>
              <w:snapToGrid w:val="0"/>
              <w:rPr>
                <w:rFonts w:eastAsia="MS PGothic"/>
              </w:rPr>
            </w:pPr>
            <w:r w:rsidRPr="009B72FA">
              <w:rPr>
                <w:rFonts w:eastAsia="MS PGothic" w:hint="eastAsia"/>
              </w:rPr>
              <w:t>6</w:t>
            </w:r>
            <w:r w:rsidRPr="009B72FA">
              <w:rPr>
                <w:rFonts w:eastAsia="MS PGothic"/>
              </w:rPr>
              <w:t>-25</w:t>
            </w:r>
          </w:p>
        </w:tc>
        <w:tc>
          <w:tcPr>
            <w:tcW w:w="809" w:type="pct"/>
            <w:shd w:val="clear" w:color="auto" w:fill="auto"/>
            <w:vAlign w:val="center"/>
          </w:tcPr>
          <w:p w:rsidR="001B50EE" w:rsidRPr="009B72FA" w:rsidRDefault="001B50EE" w:rsidP="001B50EE">
            <w:pPr>
              <w:snapToGrid w:val="0"/>
            </w:pPr>
            <w:r w:rsidRPr="009B72FA">
              <w:rPr>
                <w:rFonts w:hint="eastAsia"/>
              </w:rPr>
              <w:t>S</w:t>
            </w:r>
            <w:r w:rsidRPr="009B72FA">
              <w:t>upport of synchronous NR-NR DC operation only wherein MCG is only in FR1 and SCG is only in FR2</w:t>
            </w:r>
            <w:r>
              <w:t xml:space="preserve">, </w:t>
            </w:r>
            <w:r w:rsidRPr="007935B5">
              <w:rPr>
                <w:color w:val="0000FF"/>
                <w:u w:val="single"/>
              </w:rPr>
              <w:t>and no PUCCH in SCell</w:t>
            </w:r>
          </w:p>
        </w:tc>
        <w:tc>
          <w:tcPr>
            <w:tcW w:w="1177" w:type="pct"/>
            <w:shd w:val="clear" w:color="auto" w:fill="auto"/>
            <w:vAlign w:val="center"/>
          </w:tcPr>
          <w:p w:rsidR="001B50EE" w:rsidRPr="009B72FA" w:rsidRDefault="001B50EE" w:rsidP="001B50EE">
            <w:pPr>
              <w:snapToGrid w:val="0"/>
            </w:pPr>
          </w:p>
        </w:tc>
        <w:tc>
          <w:tcPr>
            <w:tcW w:w="1620" w:type="pct"/>
            <w:shd w:val="clear" w:color="auto" w:fill="auto"/>
            <w:vAlign w:val="center"/>
          </w:tcPr>
          <w:p w:rsidR="001B50EE" w:rsidRPr="009B72FA" w:rsidRDefault="001B50EE" w:rsidP="001B50EE">
            <w:pPr>
              <w:snapToGrid w:val="0"/>
              <w:rPr>
                <w:rFonts w:eastAsia="Malgun Gothic"/>
              </w:rPr>
            </w:pPr>
            <w:r w:rsidRPr="009B72FA">
              <w:rPr>
                <w:rFonts w:eastAsia="Malgun Gothic"/>
              </w:rPr>
              <w:t>This is conditioned on the support of DC band combination(s).</w:t>
            </w:r>
          </w:p>
          <w:p w:rsidR="001B50EE" w:rsidRPr="009B72FA" w:rsidRDefault="001B50EE" w:rsidP="001B50EE">
            <w:pPr>
              <w:snapToGrid w:val="0"/>
              <w:rPr>
                <w:rFonts w:eastAsia="MS PGothic"/>
              </w:rPr>
            </w:pPr>
            <w:r w:rsidRPr="009B72FA">
              <w:rPr>
                <w:rFonts w:eastAsia="MS PGothic"/>
              </w:rPr>
              <w:t>UE reports a set of supported band partitionings corresponding to MCG in FR1 and to SCG in FR2.</w:t>
            </w:r>
          </w:p>
        </w:tc>
        <w:tc>
          <w:tcPr>
            <w:tcW w:w="1028" w:type="pct"/>
            <w:shd w:val="clear" w:color="000000" w:fill="BFBFBF"/>
            <w:vAlign w:val="center"/>
          </w:tcPr>
          <w:p w:rsidR="001B50EE" w:rsidRPr="009B72FA" w:rsidRDefault="001B50EE" w:rsidP="001B50EE">
            <w:pPr>
              <w:snapToGrid w:val="0"/>
              <w:rPr>
                <w:rFonts w:eastAsia="MS PGothic"/>
              </w:rPr>
            </w:pPr>
            <w:r w:rsidRPr="009B72FA">
              <w:rPr>
                <w:rFonts w:eastAsia="MS PGothic"/>
              </w:rPr>
              <w:t>Optional with capability signaling</w:t>
            </w:r>
          </w:p>
        </w:tc>
      </w:tr>
      <w:bookmarkEnd w:id="0"/>
      <w:bookmarkEnd w:id="1"/>
    </w:tbl>
    <w:p w:rsidR="00747722" w:rsidRPr="00747722" w:rsidRDefault="00747722" w:rsidP="005B2165">
      <w:pPr>
        <w:spacing w:after="120"/>
        <w:rPr>
          <w:lang w:eastAsia="zh-TW"/>
        </w:rPr>
      </w:pPr>
    </w:p>
    <w:sectPr w:rsidR="00747722" w:rsidRPr="007477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2B1A" w:rsidRDefault="00BE2B1A">
      <w:r>
        <w:separator/>
      </w:r>
    </w:p>
  </w:endnote>
  <w:endnote w:type="continuationSeparator" w:id="0">
    <w:p w:rsidR="00BE2B1A" w:rsidRDefault="00BE2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2B1A" w:rsidRDefault="00BE2B1A">
      <w:r>
        <w:separator/>
      </w:r>
    </w:p>
  </w:footnote>
  <w:footnote w:type="continuationSeparator" w:id="0">
    <w:p w:rsidR="00BE2B1A" w:rsidRDefault="00BE2B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A71F5"/>
    <w:multiLevelType w:val="hybridMultilevel"/>
    <w:tmpl w:val="22AC8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8716B"/>
    <w:multiLevelType w:val="hybridMultilevel"/>
    <w:tmpl w:val="B9521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964790"/>
    <w:multiLevelType w:val="hybridMultilevel"/>
    <w:tmpl w:val="A14C7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4C30DC"/>
    <w:multiLevelType w:val="hybridMultilevel"/>
    <w:tmpl w:val="6BBC67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92947"/>
    <w:multiLevelType w:val="hybridMultilevel"/>
    <w:tmpl w:val="A2D44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AC3CB5"/>
    <w:multiLevelType w:val="hybridMultilevel"/>
    <w:tmpl w:val="6D6C2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073C80"/>
    <w:multiLevelType w:val="hybridMultilevel"/>
    <w:tmpl w:val="87A41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F72A9D"/>
    <w:multiLevelType w:val="hybridMultilevel"/>
    <w:tmpl w:val="10225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66A1BC7"/>
    <w:multiLevelType w:val="multilevel"/>
    <w:tmpl w:val="AEFC7EF2"/>
    <w:lvl w:ilvl="0">
      <w:start w:val="1"/>
      <w:numFmt w:val="decimal"/>
      <w:pStyle w:val="Heading1"/>
      <w:lvlText w:val="%1"/>
      <w:lvlJc w:val="left"/>
      <w:pPr>
        <w:tabs>
          <w:tab w:val="num" w:pos="432"/>
        </w:tabs>
        <w:ind w:left="432" w:hanging="432"/>
      </w:pPr>
      <w:rPr>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49697F9A"/>
    <w:multiLevelType w:val="hybridMultilevel"/>
    <w:tmpl w:val="1AA203DA"/>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2"/>
  </w:num>
  <w:num w:numId="2">
    <w:abstractNumId w:val="13"/>
  </w:num>
  <w:num w:numId="3">
    <w:abstractNumId w:val="16"/>
  </w:num>
  <w:num w:numId="4">
    <w:abstractNumId w:val="15"/>
  </w:num>
  <w:num w:numId="5">
    <w:abstractNumId w:val="10"/>
  </w:num>
  <w:num w:numId="6">
    <w:abstractNumId w:val="1"/>
  </w:num>
  <w:num w:numId="7">
    <w:abstractNumId w:val="7"/>
  </w:num>
  <w:num w:numId="8">
    <w:abstractNumId w:val="14"/>
  </w:num>
  <w:num w:numId="9">
    <w:abstractNumId w:val="9"/>
  </w:num>
  <w:num w:numId="10">
    <w:abstractNumId w:val="8"/>
  </w:num>
  <w:num w:numId="11">
    <w:abstractNumId w:val="2"/>
  </w:num>
  <w:num w:numId="12">
    <w:abstractNumId w:val="0"/>
  </w:num>
  <w:num w:numId="13">
    <w:abstractNumId w:val="12"/>
  </w:num>
  <w:num w:numId="14">
    <w:abstractNumId w:val="6"/>
  </w:num>
  <w:num w:numId="15">
    <w:abstractNumId w:val="4"/>
  </w:num>
  <w:num w:numId="16">
    <w:abstractNumId w:val="5"/>
  </w:num>
  <w:num w:numId="17">
    <w:abstractNumId w:val="3"/>
  </w:num>
  <w:num w:numId="18">
    <w:abstractNumId w:val="11"/>
  </w:num>
  <w:num w:numId="19">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1207"/>
    <w:rsid w:val="00001B41"/>
    <w:rsid w:val="00002CDB"/>
    <w:rsid w:val="000033BB"/>
    <w:rsid w:val="00003F25"/>
    <w:rsid w:val="00004B5C"/>
    <w:rsid w:val="0000797A"/>
    <w:rsid w:val="000121C0"/>
    <w:rsid w:val="000122D6"/>
    <w:rsid w:val="000143D3"/>
    <w:rsid w:val="000152CE"/>
    <w:rsid w:val="00015326"/>
    <w:rsid w:val="00015631"/>
    <w:rsid w:val="00015873"/>
    <w:rsid w:val="0001727A"/>
    <w:rsid w:val="000208E3"/>
    <w:rsid w:val="0002094E"/>
    <w:rsid w:val="0002191D"/>
    <w:rsid w:val="000227BE"/>
    <w:rsid w:val="00022871"/>
    <w:rsid w:val="00024613"/>
    <w:rsid w:val="000258FE"/>
    <w:rsid w:val="000266A0"/>
    <w:rsid w:val="00026F21"/>
    <w:rsid w:val="00031C1D"/>
    <w:rsid w:val="00032F6B"/>
    <w:rsid w:val="000343F5"/>
    <w:rsid w:val="00034473"/>
    <w:rsid w:val="000373A1"/>
    <w:rsid w:val="00041C77"/>
    <w:rsid w:val="00041FB5"/>
    <w:rsid w:val="00042253"/>
    <w:rsid w:val="000447F4"/>
    <w:rsid w:val="00046CBD"/>
    <w:rsid w:val="000472D9"/>
    <w:rsid w:val="00047DB7"/>
    <w:rsid w:val="0005186F"/>
    <w:rsid w:val="00053C5F"/>
    <w:rsid w:val="00054BF1"/>
    <w:rsid w:val="00055FA2"/>
    <w:rsid w:val="00056D73"/>
    <w:rsid w:val="00057B1E"/>
    <w:rsid w:val="00057C82"/>
    <w:rsid w:val="00061103"/>
    <w:rsid w:val="0006534D"/>
    <w:rsid w:val="00065840"/>
    <w:rsid w:val="00066951"/>
    <w:rsid w:val="000672B2"/>
    <w:rsid w:val="0006733D"/>
    <w:rsid w:val="000722E4"/>
    <w:rsid w:val="00072468"/>
    <w:rsid w:val="000735FB"/>
    <w:rsid w:val="00074BF1"/>
    <w:rsid w:val="000754A3"/>
    <w:rsid w:val="00076D8D"/>
    <w:rsid w:val="00076E6A"/>
    <w:rsid w:val="00081128"/>
    <w:rsid w:val="000837A9"/>
    <w:rsid w:val="000850F3"/>
    <w:rsid w:val="0008693B"/>
    <w:rsid w:val="00087287"/>
    <w:rsid w:val="0008738E"/>
    <w:rsid w:val="00093A69"/>
    <w:rsid w:val="00093E7E"/>
    <w:rsid w:val="00094225"/>
    <w:rsid w:val="00094B67"/>
    <w:rsid w:val="00094E11"/>
    <w:rsid w:val="00095554"/>
    <w:rsid w:val="00096EAB"/>
    <w:rsid w:val="00096F03"/>
    <w:rsid w:val="00097E21"/>
    <w:rsid w:val="000A00D0"/>
    <w:rsid w:val="000A07F1"/>
    <w:rsid w:val="000A108F"/>
    <w:rsid w:val="000A1759"/>
    <w:rsid w:val="000A194A"/>
    <w:rsid w:val="000A2E06"/>
    <w:rsid w:val="000A2E10"/>
    <w:rsid w:val="000A3132"/>
    <w:rsid w:val="000A3689"/>
    <w:rsid w:val="000A661A"/>
    <w:rsid w:val="000A729F"/>
    <w:rsid w:val="000B2EBA"/>
    <w:rsid w:val="000B2EF7"/>
    <w:rsid w:val="000B3A12"/>
    <w:rsid w:val="000B6A6A"/>
    <w:rsid w:val="000C045E"/>
    <w:rsid w:val="000C04E9"/>
    <w:rsid w:val="000C43F7"/>
    <w:rsid w:val="000C44A9"/>
    <w:rsid w:val="000C5083"/>
    <w:rsid w:val="000C62BA"/>
    <w:rsid w:val="000D06B4"/>
    <w:rsid w:val="000D0758"/>
    <w:rsid w:val="000D0EDB"/>
    <w:rsid w:val="000D1520"/>
    <w:rsid w:val="000D1AEB"/>
    <w:rsid w:val="000D48AF"/>
    <w:rsid w:val="000D4A72"/>
    <w:rsid w:val="000D53D3"/>
    <w:rsid w:val="000D66CB"/>
    <w:rsid w:val="000D6CFC"/>
    <w:rsid w:val="000D7963"/>
    <w:rsid w:val="000E0CA4"/>
    <w:rsid w:val="000E0D9B"/>
    <w:rsid w:val="000E16EB"/>
    <w:rsid w:val="000E17F1"/>
    <w:rsid w:val="000E284C"/>
    <w:rsid w:val="000E3056"/>
    <w:rsid w:val="000E5BEE"/>
    <w:rsid w:val="000E5CBC"/>
    <w:rsid w:val="000E69EA"/>
    <w:rsid w:val="000F2478"/>
    <w:rsid w:val="000F7730"/>
    <w:rsid w:val="000F7EFE"/>
    <w:rsid w:val="000F7F92"/>
    <w:rsid w:val="00100245"/>
    <w:rsid w:val="001012D3"/>
    <w:rsid w:val="00101ACF"/>
    <w:rsid w:val="0010220A"/>
    <w:rsid w:val="00102C99"/>
    <w:rsid w:val="001033CB"/>
    <w:rsid w:val="00104E8E"/>
    <w:rsid w:val="001051DE"/>
    <w:rsid w:val="00112264"/>
    <w:rsid w:val="00112480"/>
    <w:rsid w:val="001135BD"/>
    <w:rsid w:val="00114473"/>
    <w:rsid w:val="00114A5F"/>
    <w:rsid w:val="00115249"/>
    <w:rsid w:val="001176FD"/>
    <w:rsid w:val="001206F8"/>
    <w:rsid w:val="001211BC"/>
    <w:rsid w:val="00121E7E"/>
    <w:rsid w:val="00121FF5"/>
    <w:rsid w:val="00123F9C"/>
    <w:rsid w:val="00126E09"/>
    <w:rsid w:val="00127AE9"/>
    <w:rsid w:val="001311E4"/>
    <w:rsid w:val="00131A87"/>
    <w:rsid w:val="00132A1B"/>
    <w:rsid w:val="00133193"/>
    <w:rsid w:val="00133541"/>
    <w:rsid w:val="001354B3"/>
    <w:rsid w:val="00135703"/>
    <w:rsid w:val="00137B0F"/>
    <w:rsid w:val="0014010C"/>
    <w:rsid w:val="00141A70"/>
    <w:rsid w:val="00142407"/>
    <w:rsid w:val="00143961"/>
    <w:rsid w:val="001478C3"/>
    <w:rsid w:val="00147BE5"/>
    <w:rsid w:val="001518AB"/>
    <w:rsid w:val="00151F88"/>
    <w:rsid w:val="00151F90"/>
    <w:rsid w:val="0015221E"/>
    <w:rsid w:val="00152C7E"/>
    <w:rsid w:val="00152EF4"/>
    <w:rsid w:val="00153528"/>
    <w:rsid w:val="001541D5"/>
    <w:rsid w:val="001555D0"/>
    <w:rsid w:val="0015578E"/>
    <w:rsid w:val="0015718A"/>
    <w:rsid w:val="00157197"/>
    <w:rsid w:val="00157CBC"/>
    <w:rsid w:val="00160ECA"/>
    <w:rsid w:val="0016184A"/>
    <w:rsid w:val="00162C70"/>
    <w:rsid w:val="001642C2"/>
    <w:rsid w:val="0016596F"/>
    <w:rsid w:val="00166750"/>
    <w:rsid w:val="00166985"/>
    <w:rsid w:val="00172031"/>
    <w:rsid w:val="00173059"/>
    <w:rsid w:val="00173C4C"/>
    <w:rsid w:val="001753C0"/>
    <w:rsid w:val="00175404"/>
    <w:rsid w:val="00175920"/>
    <w:rsid w:val="00177DC6"/>
    <w:rsid w:val="001822E1"/>
    <w:rsid w:val="00182B95"/>
    <w:rsid w:val="00182FB3"/>
    <w:rsid w:val="001842CE"/>
    <w:rsid w:val="0018604E"/>
    <w:rsid w:val="00186ED9"/>
    <w:rsid w:val="001905CB"/>
    <w:rsid w:val="00190B0C"/>
    <w:rsid w:val="001911A9"/>
    <w:rsid w:val="00191AD9"/>
    <w:rsid w:val="0019286D"/>
    <w:rsid w:val="00194FCC"/>
    <w:rsid w:val="001953F4"/>
    <w:rsid w:val="001958D6"/>
    <w:rsid w:val="0019615E"/>
    <w:rsid w:val="00196882"/>
    <w:rsid w:val="001968B4"/>
    <w:rsid w:val="00197455"/>
    <w:rsid w:val="0019768C"/>
    <w:rsid w:val="001A08AA"/>
    <w:rsid w:val="001A5826"/>
    <w:rsid w:val="001A79E5"/>
    <w:rsid w:val="001B50EE"/>
    <w:rsid w:val="001C0790"/>
    <w:rsid w:val="001C0D39"/>
    <w:rsid w:val="001C15BE"/>
    <w:rsid w:val="001C1C16"/>
    <w:rsid w:val="001C1F2B"/>
    <w:rsid w:val="001C26C1"/>
    <w:rsid w:val="001C2B5A"/>
    <w:rsid w:val="001C2EA0"/>
    <w:rsid w:val="001C46E2"/>
    <w:rsid w:val="001C478C"/>
    <w:rsid w:val="001C4EDD"/>
    <w:rsid w:val="001C5305"/>
    <w:rsid w:val="001C5645"/>
    <w:rsid w:val="001C5A24"/>
    <w:rsid w:val="001D028C"/>
    <w:rsid w:val="001D0F48"/>
    <w:rsid w:val="001D2E59"/>
    <w:rsid w:val="001D3079"/>
    <w:rsid w:val="001D50EA"/>
    <w:rsid w:val="001D5835"/>
    <w:rsid w:val="001D5E32"/>
    <w:rsid w:val="001D72E5"/>
    <w:rsid w:val="001E0941"/>
    <w:rsid w:val="001E3B39"/>
    <w:rsid w:val="001E63A1"/>
    <w:rsid w:val="001E6D3D"/>
    <w:rsid w:val="001E6F75"/>
    <w:rsid w:val="001E7812"/>
    <w:rsid w:val="001F02FE"/>
    <w:rsid w:val="001F0340"/>
    <w:rsid w:val="001F206B"/>
    <w:rsid w:val="001F2755"/>
    <w:rsid w:val="001F2E57"/>
    <w:rsid w:val="001F2FB7"/>
    <w:rsid w:val="001F331B"/>
    <w:rsid w:val="001F6689"/>
    <w:rsid w:val="001F7429"/>
    <w:rsid w:val="002004AE"/>
    <w:rsid w:val="00200A50"/>
    <w:rsid w:val="002023A0"/>
    <w:rsid w:val="00202AE7"/>
    <w:rsid w:val="00203C81"/>
    <w:rsid w:val="0020670D"/>
    <w:rsid w:val="00207AC8"/>
    <w:rsid w:val="002106A2"/>
    <w:rsid w:val="0021141F"/>
    <w:rsid w:val="00211C4A"/>
    <w:rsid w:val="00212373"/>
    <w:rsid w:val="002124E5"/>
    <w:rsid w:val="0021250B"/>
    <w:rsid w:val="00212513"/>
    <w:rsid w:val="00212520"/>
    <w:rsid w:val="00212BC4"/>
    <w:rsid w:val="002138EA"/>
    <w:rsid w:val="002139A3"/>
    <w:rsid w:val="002143B4"/>
    <w:rsid w:val="002148D7"/>
    <w:rsid w:val="00214C0D"/>
    <w:rsid w:val="00214FBD"/>
    <w:rsid w:val="00216D2C"/>
    <w:rsid w:val="0021766C"/>
    <w:rsid w:val="00220070"/>
    <w:rsid w:val="002201C3"/>
    <w:rsid w:val="002223A7"/>
    <w:rsid w:val="00222897"/>
    <w:rsid w:val="00224667"/>
    <w:rsid w:val="00224D08"/>
    <w:rsid w:val="00226094"/>
    <w:rsid w:val="002305ED"/>
    <w:rsid w:val="002306B9"/>
    <w:rsid w:val="00231673"/>
    <w:rsid w:val="0023181B"/>
    <w:rsid w:val="00232C18"/>
    <w:rsid w:val="0023333C"/>
    <w:rsid w:val="002337B3"/>
    <w:rsid w:val="00235394"/>
    <w:rsid w:val="00235A9B"/>
    <w:rsid w:val="00235FBC"/>
    <w:rsid w:val="00236AF3"/>
    <w:rsid w:val="002371D3"/>
    <w:rsid w:val="002374A0"/>
    <w:rsid w:val="002379CC"/>
    <w:rsid w:val="002405D2"/>
    <w:rsid w:val="00241D4B"/>
    <w:rsid w:val="00241DA6"/>
    <w:rsid w:val="002446C9"/>
    <w:rsid w:val="00244AF0"/>
    <w:rsid w:val="002506F0"/>
    <w:rsid w:val="00251422"/>
    <w:rsid w:val="00252695"/>
    <w:rsid w:val="002528D3"/>
    <w:rsid w:val="002528EA"/>
    <w:rsid w:val="00253CD8"/>
    <w:rsid w:val="002549FC"/>
    <w:rsid w:val="00254B3D"/>
    <w:rsid w:val="00254CCD"/>
    <w:rsid w:val="00256CF6"/>
    <w:rsid w:val="002570A5"/>
    <w:rsid w:val="00257ACB"/>
    <w:rsid w:val="00260D25"/>
    <w:rsid w:val="00261488"/>
    <w:rsid w:val="0026179F"/>
    <w:rsid w:val="00262A8E"/>
    <w:rsid w:val="00264189"/>
    <w:rsid w:val="00265464"/>
    <w:rsid w:val="0026583D"/>
    <w:rsid w:val="00265F02"/>
    <w:rsid w:val="00266028"/>
    <w:rsid w:val="00266FA8"/>
    <w:rsid w:val="00270C9E"/>
    <w:rsid w:val="00272358"/>
    <w:rsid w:val="0027490F"/>
    <w:rsid w:val="00274E1A"/>
    <w:rsid w:val="00274F1E"/>
    <w:rsid w:val="0027516B"/>
    <w:rsid w:val="00275FD2"/>
    <w:rsid w:val="00276223"/>
    <w:rsid w:val="002770F4"/>
    <w:rsid w:val="00281777"/>
    <w:rsid w:val="002819FD"/>
    <w:rsid w:val="00282159"/>
    <w:rsid w:val="00282213"/>
    <w:rsid w:val="00284500"/>
    <w:rsid w:val="00287BC6"/>
    <w:rsid w:val="00287F5A"/>
    <w:rsid w:val="0029193E"/>
    <w:rsid w:val="00292870"/>
    <w:rsid w:val="00292CC3"/>
    <w:rsid w:val="00293613"/>
    <w:rsid w:val="0029400E"/>
    <w:rsid w:val="0029560C"/>
    <w:rsid w:val="00295686"/>
    <w:rsid w:val="002A1DCC"/>
    <w:rsid w:val="002A416C"/>
    <w:rsid w:val="002A452B"/>
    <w:rsid w:val="002A486F"/>
    <w:rsid w:val="002A6272"/>
    <w:rsid w:val="002A63E4"/>
    <w:rsid w:val="002A64A5"/>
    <w:rsid w:val="002A6FE9"/>
    <w:rsid w:val="002A7183"/>
    <w:rsid w:val="002A7455"/>
    <w:rsid w:val="002A7B53"/>
    <w:rsid w:val="002B1B15"/>
    <w:rsid w:val="002B1F88"/>
    <w:rsid w:val="002B429C"/>
    <w:rsid w:val="002B561F"/>
    <w:rsid w:val="002B6CEF"/>
    <w:rsid w:val="002B72AA"/>
    <w:rsid w:val="002B757F"/>
    <w:rsid w:val="002B7BC4"/>
    <w:rsid w:val="002C13A0"/>
    <w:rsid w:val="002C324A"/>
    <w:rsid w:val="002C3F4C"/>
    <w:rsid w:val="002C40A3"/>
    <w:rsid w:val="002C4D60"/>
    <w:rsid w:val="002D06F5"/>
    <w:rsid w:val="002D2577"/>
    <w:rsid w:val="002D2619"/>
    <w:rsid w:val="002D36ED"/>
    <w:rsid w:val="002D47D9"/>
    <w:rsid w:val="002D5B23"/>
    <w:rsid w:val="002D69AB"/>
    <w:rsid w:val="002D70EF"/>
    <w:rsid w:val="002D782C"/>
    <w:rsid w:val="002E08D7"/>
    <w:rsid w:val="002E0B06"/>
    <w:rsid w:val="002E48E5"/>
    <w:rsid w:val="002E5799"/>
    <w:rsid w:val="002E5D19"/>
    <w:rsid w:val="002E7DE5"/>
    <w:rsid w:val="002E7EF7"/>
    <w:rsid w:val="002F030F"/>
    <w:rsid w:val="002F0964"/>
    <w:rsid w:val="002F104C"/>
    <w:rsid w:val="002F1DCB"/>
    <w:rsid w:val="002F272A"/>
    <w:rsid w:val="002F2B29"/>
    <w:rsid w:val="002F373E"/>
    <w:rsid w:val="002F4093"/>
    <w:rsid w:val="002F40CC"/>
    <w:rsid w:val="002F63F6"/>
    <w:rsid w:val="002F7D50"/>
    <w:rsid w:val="00300039"/>
    <w:rsid w:val="00300397"/>
    <w:rsid w:val="0030129F"/>
    <w:rsid w:val="00302C96"/>
    <w:rsid w:val="003046A7"/>
    <w:rsid w:val="003052DA"/>
    <w:rsid w:val="0030536D"/>
    <w:rsid w:val="00307BEF"/>
    <w:rsid w:val="00313089"/>
    <w:rsid w:val="003155D8"/>
    <w:rsid w:val="0031581E"/>
    <w:rsid w:val="0031699D"/>
    <w:rsid w:val="0031704D"/>
    <w:rsid w:val="00317783"/>
    <w:rsid w:val="003210CC"/>
    <w:rsid w:val="00321DB3"/>
    <w:rsid w:val="003225EF"/>
    <w:rsid w:val="00322D40"/>
    <w:rsid w:val="003230B0"/>
    <w:rsid w:val="00323E87"/>
    <w:rsid w:val="003245C3"/>
    <w:rsid w:val="00325430"/>
    <w:rsid w:val="00326B16"/>
    <w:rsid w:val="00330067"/>
    <w:rsid w:val="0033073D"/>
    <w:rsid w:val="00330F3F"/>
    <w:rsid w:val="00331C9E"/>
    <w:rsid w:val="00331F8D"/>
    <w:rsid w:val="00333CCD"/>
    <w:rsid w:val="003357E1"/>
    <w:rsid w:val="00335E85"/>
    <w:rsid w:val="003366B3"/>
    <w:rsid w:val="003379C2"/>
    <w:rsid w:val="003411C2"/>
    <w:rsid w:val="00342018"/>
    <w:rsid w:val="00342509"/>
    <w:rsid w:val="00345462"/>
    <w:rsid w:val="00346325"/>
    <w:rsid w:val="003473E4"/>
    <w:rsid w:val="00347868"/>
    <w:rsid w:val="003505A3"/>
    <w:rsid w:val="003540D1"/>
    <w:rsid w:val="00354265"/>
    <w:rsid w:val="00355D5F"/>
    <w:rsid w:val="00355FEA"/>
    <w:rsid w:val="003569D5"/>
    <w:rsid w:val="00357DDA"/>
    <w:rsid w:val="003605F0"/>
    <w:rsid w:val="0036097B"/>
    <w:rsid w:val="0036376B"/>
    <w:rsid w:val="00364B88"/>
    <w:rsid w:val="00364CFD"/>
    <w:rsid w:val="00365FE2"/>
    <w:rsid w:val="00367724"/>
    <w:rsid w:val="00367E7D"/>
    <w:rsid w:val="0037097E"/>
    <w:rsid w:val="00370F1F"/>
    <w:rsid w:val="00373155"/>
    <w:rsid w:val="00376EB4"/>
    <w:rsid w:val="003770FF"/>
    <w:rsid w:val="00377A81"/>
    <w:rsid w:val="00377B02"/>
    <w:rsid w:val="00377E65"/>
    <w:rsid w:val="003807E0"/>
    <w:rsid w:val="00382957"/>
    <w:rsid w:val="00383EAB"/>
    <w:rsid w:val="00384502"/>
    <w:rsid w:val="00385271"/>
    <w:rsid w:val="003861F1"/>
    <w:rsid w:val="00390B2E"/>
    <w:rsid w:val="003947AB"/>
    <w:rsid w:val="003953AA"/>
    <w:rsid w:val="00395C3F"/>
    <w:rsid w:val="00396280"/>
    <w:rsid w:val="003969DE"/>
    <w:rsid w:val="00396F61"/>
    <w:rsid w:val="003978CE"/>
    <w:rsid w:val="003A338B"/>
    <w:rsid w:val="003A5FA4"/>
    <w:rsid w:val="003A6CCB"/>
    <w:rsid w:val="003A7F9B"/>
    <w:rsid w:val="003B1CD7"/>
    <w:rsid w:val="003B25A7"/>
    <w:rsid w:val="003B63FF"/>
    <w:rsid w:val="003B6801"/>
    <w:rsid w:val="003B7096"/>
    <w:rsid w:val="003C05F2"/>
    <w:rsid w:val="003C245B"/>
    <w:rsid w:val="003C2562"/>
    <w:rsid w:val="003C2DC1"/>
    <w:rsid w:val="003C3166"/>
    <w:rsid w:val="003C3EAD"/>
    <w:rsid w:val="003C5F24"/>
    <w:rsid w:val="003C6BDA"/>
    <w:rsid w:val="003C6CE6"/>
    <w:rsid w:val="003C7AE1"/>
    <w:rsid w:val="003C7C79"/>
    <w:rsid w:val="003D0233"/>
    <w:rsid w:val="003D0346"/>
    <w:rsid w:val="003D0F5B"/>
    <w:rsid w:val="003D1F33"/>
    <w:rsid w:val="003D3003"/>
    <w:rsid w:val="003D30CE"/>
    <w:rsid w:val="003D3659"/>
    <w:rsid w:val="003D4569"/>
    <w:rsid w:val="003D46BA"/>
    <w:rsid w:val="003D70D3"/>
    <w:rsid w:val="003E05F6"/>
    <w:rsid w:val="003E2190"/>
    <w:rsid w:val="003E75DA"/>
    <w:rsid w:val="003F04F5"/>
    <w:rsid w:val="003F1503"/>
    <w:rsid w:val="003F17A3"/>
    <w:rsid w:val="003F2D18"/>
    <w:rsid w:val="003F6410"/>
    <w:rsid w:val="003F6FC9"/>
    <w:rsid w:val="003F7334"/>
    <w:rsid w:val="00400014"/>
    <w:rsid w:val="00402744"/>
    <w:rsid w:val="004039E9"/>
    <w:rsid w:val="004048A8"/>
    <w:rsid w:val="00405657"/>
    <w:rsid w:val="00411F3C"/>
    <w:rsid w:val="004134F7"/>
    <w:rsid w:val="0041441E"/>
    <w:rsid w:val="00414494"/>
    <w:rsid w:val="0041475D"/>
    <w:rsid w:val="00415DFC"/>
    <w:rsid w:val="0041688B"/>
    <w:rsid w:val="00416DD2"/>
    <w:rsid w:val="00416F56"/>
    <w:rsid w:val="00420E31"/>
    <w:rsid w:val="00421674"/>
    <w:rsid w:val="0042338B"/>
    <w:rsid w:val="00423C66"/>
    <w:rsid w:val="00423D02"/>
    <w:rsid w:val="0042539B"/>
    <w:rsid w:val="00432059"/>
    <w:rsid w:val="00432DB0"/>
    <w:rsid w:val="004348E3"/>
    <w:rsid w:val="00435D47"/>
    <w:rsid w:val="0043633D"/>
    <w:rsid w:val="00440B01"/>
    <w:rsid w:val="004424C3"/>
    <w:rsid w:val="004428BB"/>
    <w:rsid w:val="00443C22"/>
    <w:rsid w:val="00444225"/>
    <w:rsid w:val="00445D09"/>
    <w:rsid w:val="00445D1B"/>
    <w:rsid w:val="00446111"/>
    <w:rsid w:val="0045125C"/>
    <w:rsid w:val="00451E54"/>
    <w:rsid w:val="00452D7E"/>
    <w:rsid w:val="00456BEA"/>
    <w:rsid w:val="00457318"/>
    <w:rsid w:val="004573DA"/>
    <w:rsid w:val="00457C47"/>
    <w:rsid w:val="004626AB"/>
    <w:rsid w:val="00463882"/>
    <w:rsid w:val="004652DB"/>
    <w:rsid w:val="00466423"/>
    <w:rsid w:val="004707C7"/>
    <w:rsid w:val="004714C0"/>
    <w:rsid w:val="004720C4"/>
    <w:rsid w:val="0047284D"/>
    <w:rsid w:val="00472874"/>
    <w:rsid w:val="00473697"/>
    <w:rsid w:val="004741D5"/>
    <w:rsid w:val="00477053"/>
    <w:rsid w:val="0048140E"/>
    <w:rsid w:val="00481B8C"/>
    <w:rsid w:val="004824B8"/>
    <w:rsid w:val="00482752"/>
    <w:rsid w:val="00486374"/>
    <w:rsid w:val="00487A20"/>
    <w:rsid w:val="004904FC"/>
    <w:rsid w:val="00491E50"/>
    <w:rsid w:val="00493BD5"/>
    <w:rsid w:val="00493D84"/>
    <w:rsid w:val="004944F1"/>
    <w:rsid w:val="00494954"/>
    <w:rsid w:val="00495EE1"/>
    <w:rsid w:val="00496C45"/>
    <w:rsid w:val="00496DB3"/>
    <w:rsid w:val="00497D93"/>
    <w:rsid w:val="004A07B6"/>
    <w:rsid w:val="004A17C7"/>
    <w:rsid w:val="004A215D"/>
    <w:rsid w:val="004A3227"/>
    <w:rsid w:val="004A3261"/>
    <w:rsid w:val="004A44BA"/>
    <w:rsid w:val="004A6ED7"/>
    <w:rsid w:val="004B04F3"/>
    <w:rsid w:val="004B313C"/>
    <w:rsid w:val="004B36DC"/>
    <w:rsid w:val="004B6A3D"/>
    <w:rsid w:val="004C0650"/>
    <w:rsid w:val="004C0AE5"/>
    <w:rsid w:val="004C0F3E"/>
    <w:rsid w:val="004C443A"/>
    <w:rsid w:val="004C500C"/>
    <w:rsid w:val="004C58A6"/>
    <w:rsid w:val="004D237A"/>
    <w:rsid w:val="004D2891"/>
    <w:rsid w:val="004D29D7"/>
    <w:rsid w:val="004D4A45"/>
    <w:rsid w:val="004D69A7"/>
    <w:rsid w:val="004D6D62"/>
    <w:rsid w:val="004D7817"/>
    <w:rsid w:val="004E0562"/>
    <w:rsid w:val="004E10EE"/>
    <w:rsid w:val="004E13F4"/>
    <w:rsid w:val="004E23DE"/>
    <w:rsid w:val="004E2602"/>
    <w:rsid w:val="004E2E08"/>
    <w:rsid w:val="004E34F7"/>
    <w:rsid w:val="004E4003"/>
    <w:rsid w:val="004E5190"/>
    <w:rsid w:val="004E5277"/>
    <w:rsid w:val="004E5CB8"/>
    <w:rsid w:val="004F03DF"/>
    <w:rsid w:val="004F0AEE"/>
    <w:rsid w:val="004F0B5D"/>
    <w:rsid w:val="004F2E1A"/>
    <w:rsid w:val="004F62D0"/>
    <w:rsid w:val="005012E6"/>
    <w:rsid w:val="00502508"/>
    <w:rsid w:val="005025E1"/>
    <w:rsid w:val="00503690"/>
    <w:rsid w:val="00503A15"/>
    <w:rsid w:val="00503C68"/>
    <w:rsid w:val="005044F3"/>
    <w:rsid w:val="00504ABF"/>
    <w:rsid w:val="00504C1D"/>
    <w:rsid w:val="00505BFA"/>
    <w:rsid w:val="00507A87"/>
    <w:rsid w:val="00512808"/>
    <w:rsid w:val="0051687F"/>
    <w:rsid w:val="00516C17"/>
    <w:rsid w:val="00517FD0"/>
    <w:rsid w:val="00520285"/>
    <w:rsid w:val="005203DE"/>
    <w:rsid w:val="005208C8"/>
    <w:rsid w:val="00520A81"/>
    <w:rsid w:val="00520AC5"/>
    <w:rsid w:val="0052251A"/>
    <w:rsid w:val="0052277A"/>
    <w:rsid w:val="005236BB"/>
    <w:rsid w:val="00523A04"/>
    <w:rsid w:val="00524169"/>
    <w:rsid w:val="0052455F"/>
    <w:rsid w:val="00525277"/>
    <w:rsid w:val="005259DC"/>
    <w:rsid w:val="005312DF"/>
    <w:rsid w:val="00531F0A"/>
    <w:rsid w:val="00532909"/>
    <w:rsid w:val="00532AFC"/>
    <w:rsid w:val="00532C4D"/>
    <w:rsid w:val="00534990"/>
    <w:rsid w:val="00535DC1"/>
    <w:rsid w:val="00536873"/>
    <w:rsid w:val="00536BF3"/>
    <w:rsid w:val="005373FA"/>
    <w:rsid w:val="005400D0"/>
    <w:rsid w:val="005412AC"/>
    <w:rsid w:val="00541F8F"/>
    <w:rsid w:val="0054230D"/>
    <w:rsid w:val="00542D3D"/>
    <w:rsid w:val="005437B2"/>
    <w:rsid w:val="00544628"/>
    <w:rsid w:val="005460DB"/>
    <w:rsid w:val="00546664"/>
    <w:rsid w:val="005504FF"/>
    <w:rsid w:val="00552024"/>
    <w:rsid w:val="0055331F"/>
    <w:rsid w:val="0055717C"/>
    <w:rsid w:val="00561966"/>
    <w:rsid w:val="00563111"/>
    <w:rsid w:val="00564539"/>
    <w:rsid w:val="0056490C"/>
    <w:rsid w:val="005724AC"/>
    <w:rsid w:val="00577349"/>
    <w:rsid w:val="00577501"/>
    <w:rsid w:val="00577842"/>
    <w:rsid w:val="0057789C"/>
    <w:rsid w:val="00577C58"/>
    <w:rsid w:val="00580522"/>
    <w:rsid w:val="00580AE0"/>
    <w:rsid w:val="00581250"/>
    <w:rsid w:val="00581E99"/>
    <w:rsid w:val="005856C5"/>
    <w:rsid w:val="0058668B"/>
    <w:rsid w:val="00586BDE"/>
    <w:rsid w:val="0059131E"/>
    <w:rsid w:val="00591A1D"/>
    <w:rsid w:val="00591A8F"/>
    <w:rsid w:val="005926C0"/>
    <w:rsid w:val="00593800"/>
    <w:rsid w:val="0059412B"/>
    <w:rsid w:val="00595B59"/>
    <w:rsid w:val="0059632A"/>
    <w:rsid w:val="005969A6"/>
    <w:rsid w:val="00597AD8"/>
    <w:rsid w:val="005A1338"/>
    <w:rsid w:val="005A2979"/>
    <w:rsid w:val="005A3652"/>
    <w:rsid w:val="005A602E"/>
    <w:rsid w:val="005A6683"/>
    <w:rsid w:val="005A675D"/>
    <w:rsid w:val="005A70E4"/>
    <w:rsid w:val="005A7465"/>
    <w:rsid w:val="005A7783"/>
    <w:rsid w:val="005B0B2E"/>
    <w:rsid w:val="005B0BF5"/>
    <w:rsid w:val="005B1F15"/>
    <w:rsid w:val="005B2165"/>
    <w:rsid w:val="005B21AE"/>
    <w:rsid w:val="005B3861"/>
    <w:rsid w:val="005B4416"/>
    <w:rsid w:val="005B5132"/>
    <w:rsid w:val="005B5284"/>
    <w:rsid w:val="005B5C1C"/>
    <w:rsid w:val="005B5D20"/>
    <w:rsid w:val="005B68DE"/>
    <w:rsid w:val="005B7BAE"/>
    <w:rsid w:val="005C194A"/>
    <w:rsid w:val="005C1B28"/>
    <w:rsid w:val="005C4E15"/>
    <w:rsid w:val="005C4F05"/>
    <w:rsid w:val="005C6B2A"/>
    <w:rsid w:val="005C6F72"/>
    <w:rsid w:val="005C75E4"/>
    <w:rsid w:val="005C7A72"/>
    <w:rsid w:val="005C7CB5"/>
    <w:rsid w:val="005D0B69"/>
    <w:rsid w:val="005D2673"/>
    <w:rsid w:val="005D320C"/>
    <w:rsid w:val="005D47F0"/>
    <w:rsid w:val="005D4C01"/>
    <w:rsid w:val="005D4D94"/>
    <w:rsid w:val="005D6062"/>
    <w:rsid w:val="005D7670"/>
    <w:rsid w:val="005E0178"/>
    <w:rsid w:val="005E032A"/>
    <w:rsid w:val="005E2FBA"/>
    <w:rsid w:val="005E5985"/>
    <w:rsid w:val="005E64B6"/>
    <w:rsid w:val="005E7768"/>
    <w:rsid w:val="005F5422"/>
    <w:rsid w:val="005F54C9"/>
    <w:rsid w:val="005F55F8"/>
    <w:rsid w:val="005F57B4"/>
    <w:rsid w:val="005F6D11"/>
    <w:rsid w:val="005F6E95"/>
    <w:rsid w:val="006002C5"/>
    <w:rsid w:val="006003DF"/>
    <w:rsid w:val="00600E04"/>
    <w:rsid w:val="00601791"/>
    <w:rsid w:val="00601BCD"/>
    <w:rsid w:val="0060469B"/>
    <w:rsid w:val="00606DC9"/>
    <w:rsid w:val="0061035E"/>
    <w:rsid w:val="0061126B"/>
    <w:rsid w:val="0061230B"/>
    <w:rsid w:val="006124EB"/>
    <w:rsid w:val="00617873"/>
    <w:rsid w:val="0062084A"/>
    <w:rsid w:val="00621321"/>
    <w:rsid w:val="006226BC"/>
    <w:rsid w:val="00623415"/>
    <w:rsid w:val="00624011"/>
    <w:rsid w:val="006240D1"/>
    <w:rsid w:val="006253B1"/>
    <w:rsid w:val="006269F9"/>
    <w:rsid w:val="00626BF2"/>
    <w:rsid w:val="00627292"/>
    <w:rsid w:val="006277BA"/>
    <w:rsid w:val="00627C2C"/>
    <w:rsid w:val="0063019F"/>
    <w:rsid w:val="00630F44"/>
    <w:rsid w:val="00631361"/>
    <w:rsid w:val="006319BF"/>
    <w:rsid w:val="00631E9C"/>
    <w:rsid w:val="00632D91"/>
    <w:rsid w:val="0063375A"/>
    <w:rsid w:val="00635C3F"/>
    <w:rsid w:val="00636471"/>
    <w:rsid w:val="00636BCC"/>
    <w:rsid w:val="00641A26"/>
    <w:rsid w:val="00641FC4"/>
    <w:rsid w:val="00642E83"/>
    <w:rsid w:val="0064303D"/>
    <w:rsid w:val="00644608"/>
    <w:rsid w:val="00644DBB"/>
    <w:rsid w:val="00644FD4"/>
    <w:rsid w:val="00645F5B"/>
    <w:rsid w:val="00647224"/>
    <w:rsid w:val="00647C02"/>
    <w:rsid w:val="00650A9F"/>
    <w:rsid w:val="00650E61"/>
    <w:rsid w:val="006517D0"/>
    <w:rsid w:val="0065310A"/>
    <w:rsid w:val="006548A6"/>
    <w:rsid w:val="00654F94"/>
    <w:rsid w:val="00656D64"/>
    <w:rsid w:val="0065702D"/>
    <w:rsid w:val="00662089"/>
    <w:rsid w:val="00662682"/>
    <w:rsid w:val="00663CAF"/>
    <w:rsid w:val="006653F6"/>
    <w:rsid w:val="00665A62"/>
    <w:rsid w:val="00666664"/>
    <w:rsid w:val="00670166"/>
    <w:rsid w:val="00670FAA"/>
    <w:rsid w:val="006723F2"/>
    <w:rsid w:val="00674154"/>
    <w:rsid w:val="00674C3D"/>
    <w:rsid w:val="006754C3"/>
    <w:rsid w:val="00675AB9"/>
    <w:rsid w:val="00676F9F"/>
    <w:rsid w:val="006776D7"/>
    <w:rsid w:val="00680109"/>
    <w:rsid w:val="006819B6"/>
    <w:rsid w:val="00681E90"/>
    <w:rsid w:val="00682660"/>
    <w:rsid w:val="00682BFE"/>
    <w:rsid w:val="00683EB8"/>
    <w:rsid w:val="00684722"/>
    <w:rsid w:val="0068496A"/>
    <w:rsid w:val="00684B29"/>
    <w:rsid w:val="006851D4"/>
    <w:rsid w:val="00686947"/>
    <w:rsid w:val="00687B56"/>
    <w:rsid w:val="00690EB8"/>
    <w:rsid w:val="00691A70"/>
    <w:rsid w:val="00691C3A"/>
    <w:rsid w:val="00692002"/>
    <w:rsid w:val="00692087"/>
    <w:rsid w:val="0069229D"/>
    <w:rsid w:val="006960AC"/>
    <w:rsid w:val="006A1129"/>
    <w:rsid w:val="006A2A18"/>
    <w:rsid w:val="006A4206"/>
    <w:rsid w:val="006A4F41"/>
    <w:rsid w:val="006A6912"/>
    <w:rsid w:val="006B0464"/>
    <w:rsid w:val="006B26C4"/>
    <w:rsid w:val="006C08AD"/>
    <w:rsid w:val="006C17B2"/>
    <w:rsid w:val="006C183B"/>
    <w:rsid w:val="006C25A9"/>
    <w:rsid w:val="006C3111"/>
    <w:rsid w:val="006C512B"/>
    <w:rsid w:val="006C6D65"/>
    <w:rsid w:val="006C714E"/>
    <w:rsid w:val="006C7CF2"/>
    <w:rsid w:val="006D045A"/>
    <w:rsid w:val="006D1231"/>
    <w:rsid w:val="006D24CA"/>
    <w:rsid w:val="006D5D32"/>
    <w:rsid w:val="006E0160"/>
    <w:rsid w:val="006E0979"/>
    <w:rsid w:val="006E0F03"/>
    <w:rsid w:val="006E3D98"/>
    <w:rsid w:val="006E50C9"/>
    <w:rsid w:val="006E5FAD"/>
    <w:rsid w:val="006E6A43"/>
    <w:rsid w:val="006E6C2D"/>
    <w:rsid w:val="006E707B"/>
    <w:rsid w:val="006E7B14"/>
    <w:rsid w:val="006F09AD"/>
    <w:rsid w:val="006F1F77"/>
    <w:rsid w:val="006F3AE0"/>
    <w:rsid w:val="00702D49"/>
    <w:rsid w:val="007034A9"/>
    <w:rsid w:val="0070469F"/>
    <w:rsid w:val="00704E63"/>
    <w:rsid w:val="00705A42"/>
    <w:rsid w:val="0070646B"/>
    <w:rsid w:val="00707FE0"/>
    <w:rsid w:val="00710556"/>
    <w:rsid w:val="00710EBB"/>
    <w:rsid w:val="00710FE8"/>
    <w:rsid w:val="0071157A"/>
    <w:rsid w:val="00712BB6"/>
    <w:rsid w:val="00713B22"/>
    <w:rsid w:val="007151CE"/>
    <w:rsid w:val="00715FC6"/>
    <w:rsid w:val="00716BFE"/>
    <w:rsid w:val="007170DF"/>
    <w:rsid w:val="00722727"/>
    <w:rsid w:val="00722F31"/>
    <w:rsid w:val="00724FEA"/>
    <w:rsid w:val="00725F80"/>
    <w:rsid w:val="0072661A"/>
    <w:rsid w:val="00726C30"/>
    <w:rsid w:val="00730EFF"/>
    <w:rsid w:val="007314A7"/>
    <w:rsid w:val="00731FAD"/>
    <w:rsid w:val="0073564F"/>
    <w:rsid w:val="00735B2C"/>
    <w:rsid w:val="0073609F"/>
    <w:rsid w:val="00737559"/>
    <w:rsid w:val="0074015A"/>
    <w:rsid w:val="007403CA"/>
    <w:rsid w:val="0074135A"/>
    <w:rsid w:val="007418CF"/>
    <w:rsid w:val="00741CB3"/>
    <w:rsid w:val="007428EA"/>
    <w:rsid w:val="00743747"/>
    <w:rsid w:val="007437A7"/>
    <w:rsid w:val="00743BD6"/>
    <w:rsid w:val="00744542"/>
    <w:rsid w:val="00744BD7"/>
    <w:rsid w:val="00745D12"/>
    <w:rsid w:val="00746DE5"/>
    <w:rsid w:val="00747722"/>
    <w:rsid w:val="00750479"/>
    <w:rsid w:val="007510B7"/>
    <w:rsid w:val="007518BE"/>
    <w:rsid w:val="00751D28"/>
    <w:rsid w:val="00753075"/>
    <w:rsid w:val="0075418E"/>
    <w:rsid w:val="00754838"/>
    <w:rsid w:val="00757FC3"/>
    <w:rsid w:val="0076177C"/>
    <w:rsid w:val="00761EA5"/>
    <w:rsid w:val="00763C87"/>
    <w:rsid w:val="007644DE"/>
    <w:rsid w:val="00764E31"/>
    <w:rsid w:val="00765949"/>
    <w:rsid w:val="0076716D"/>
    <w:rsid w:val="007671A8"/>
    <w:rsid w:val="00771AF5"/>
    <w:rsid w:val="00771CA0"/>
    <w:rsid w:val="00772742"/>
    <w:rsid w:val="00772821"/>
    <w:rsid w:val="0077340D"/>
    <w:rsid w:val="00773925"/>
    <w:rsid w:val="00776064"/>
    <w:rsid w:val="00777A9B"/>
    <w:rsid w:val="007801C2"/>
    <w:rsid w:val="0078108A"/>
    <w:rsid w:val="00781152"/>
    <w:rsid w:val="0078275B"/>
    <w:rsid w:val="00783251"/>
    <w:rsid w:val="00783D5E"/>
    <w:rsid w:val="00784117"/>
    <w:rsid w:val="00784FE0"/>
    <w:rsid w:val="007860F9"/>
    <w:rsid w:val="00791181"/>
    <w:rsid w:val="00791352"/>
    <w:rsid w:val="007920B7"/>
    <w:rsid w:val="00793002"/>
    <w:rsid w:val="007935B5"/>
    <w:rsid w:val="00793A47"/>
    <w:rsid w:val="00794AAB"/>
    <w:rsid w:val="007A4D23"/>
    <w:rsid w:val="007A7CC5"/>
    <w:rsid w:val="007B0B09"/>
    <w:rsid w:val="007B2D72"/>
    <w:rsid w:val="007B54D9"/>
    <w:rsid w:val="007B55E9"/>
    <w:rsid w:val="007B6B88"/>
    <w:rsid w:val="007B7EB8"/>
    <w:rsid w:val="007C0077"/>
    <w:rsid w:val="007C0E49"/>
    <w:rsid w:val="007C1473"/>
    <w:rsid w:val="007C185A"/>
    <w:rsid w:val="007C6033"/>
    <w:rsid w:val="007C6DD6"/>
    <w:rsid w:val="007C794B"/>
    <w:rsid w:val="007D02A3"/>
    <w:rsid w:val="007D0F9C"/>
    <w:rsid w:val="007D12E6"/>
    <w:rsid w:val="007D1332"/>
    <w:rsid w:val="007D4AB0"/>
    <w:rsid w:val="007D7607"/>
    <w:rsid w:val="007D769C"/>
    <w:rsid w:val="007D7BA9"/>
    <w:rsid w:val="007E0CEA"/>
    <w:rsid w:val="007E19E0"/>
    <w:rsid w:val="007E3046"/>
    <w:rsid w:val="007E37BE"/>
    <w:rsid w:val="007E3B51"/>
    <w:rsid w:val="007E3CE8"/>
    <w:rsid w:val="007E54BC"/>
    <w:rsid w:val="007E6C87"/>
    <w:rsid w:val="007F086F"/>
    <w:rsid w:val="007F0E1E"/>
    <w:rsid w:val="007F1890"/>
    <w:rsid w:val="007F2D33"/>
    <w:rsid w:val="007F32A7"/>
    <w:rsid w:val="007F3B5C"/>
    <w:rsid w:val="007F55AC"/>
    <w:rsid w:val="007F5E10"/>
    <w:rsid w:val="007F62EA"/>
    <w:rsid w:val="007F7C8F"/>
    <w:rsid w:val="0080168B"/>
    <w:rsid w:val="0080184F"/>
    <w:rsid w:val="00801F03"/>
    <w:rsid w:val="00802493"/>
    <w:rsid w:val="00803723"/>
    <w:rsid w:val="00807D4E"/>
    <w:rsid w:val="00810C29"/>
    <w:rsid w:val="008128D1"/>
    <w:rsid w:val="00812D48"/>
    <w:rsid w:val="0081359C"/>
    <w:rsid w:val="00815989"/>
    <w:rsid w:val="00815D74"/>
    <w:rsid w:val="00815E2F"/>
    <w:rsid w:val="008162D6"/>
    <w:rsid w:val="00816505"/>
    <w:rsid w:val="00817DFD"/>
    <w:rsid w:val="0082009D"/>
    <w:rsid w:val="00820C50"/>
    <w:rsid w:val="00822512"/>
    <w:rsid w:val="00823592"/>
    <w:rsid w:val="0082403B"/>
    <w:rsid w:val="00824781"/>
    <w:rsid w:val="0082598F"/>
    <w:rsid w:val="00826206"/>
    <w:rsid w:val="0082795C"/>
    <w:rsid w:val="008301BD"/>
    <w:rsid w:val="00830987"/>
    <w:rsid w:val="00831533"/>
    <w:rsid w:val="00831EEF"/>
    <w:rsid w:val="00832211"/>
    <w:rsid w:val="00834D7A"/>
    <w:rsid w:val="008357E1"/>
    <w:rsid w:val="008359C2"/>
    <w:rsid w:val="00836673"/>
    <w:rsid w:val="00837931"/>
    <w:rsid w:val="00837A32"/>
    <w:rsid w:val="00837EBF"/>
    <w:rsid w:val="00843252"/>
    <w:rsid w:val="00844166"/>
    <w:rsid w:val="00844B8A"/>
    <w:rsid w:val="008458F7"/>
    <w:rsid w:val="0085071E"/>
    <w:rsid w:val="008520B9"/>
    <w:rsid w:val="00852927"/>
    <w:rsid w:val="00853968"/>
    <w:rsid w:val="00853A9A"/>
    <w:rsid w:val="00854E76"/>
    <w:rsid w:val="00855BF2"/>
    <w:rsid w:val="00857171"/>
    <w:rsid w:val="0085736A"/>
    <w:rsid w:val="00857B52"/>
    <w:rsid w:val="00860304"/>
    <w:rsid w:val="008612BD"/>
    <w:rsid w:val="0086225D"/>
    <w:rsid w:val="00862B92"/>
    <w:rsid w:val="0086315C"/>
    <w:rsid w:val="00863CD1"/>
    <w:rsid w:val="008642DC"/>
    <w:rsid w:val="008651F2"/>
    <w:rsid w:val="00865953"/>
    <w:rsid w:val="00865A53"/>
    <w:rsid w:val="0086760C"/>
    <w:rsid w:val="00867DC9"/>
    <w:rsid w:val="0087059B"/>
    <w:rsid w:val="00872855"/>
    <w:rsid w:val="00872F2F"/>
    <w:rsid w:val="00873416"/>
    <w:rsid w:val="00874478"/>
    <w:rsid w:val="0087462F"/>
    <w:rsid w:val="0087489E"/>
    <w:rsid w:val="00874928"/>
    <w:rsid w:val="00874F58"/>
    <w:rsid w:val="0087757C"/>
    <w:rsid w:val="00883880"/>
    <w:rsid w:val="008875D1"/>
    <w:rsid w:val="00887E30"/>
    <w:rsid w:val="0089035B"/>
    <w:rsid w:val="00890FCC"/>
    <w:rsid w:val="00891CAA"/>
    <w:rsid w:val="00892961"/>
    <w:rsid w:val="00893466"/>
    <w:rsid w:val="00894782"/>
    <w:rsid w:val="008949A2"/>
    <w:rsid w:val="008956CC"/>
    <w:rsid w:val="00896517"/>
    <w:rsid w:val="00897D4E"/>
    <w:rsid w:val="008A0232"/>
    <w:rsid w:val="008A02A4"/>
    <w:rsid w:val="008A09FC"/>
    <w:rsid w:val="008A36E0"/>
    <w:rsid w:val="008A3EC1"/>
    <w:rsid w:val="008A4FC8"/>
    <w:rsid w:val="008A5E57"/>
    <w:rsid w:val="008A5EEF"/>
    <w:rsid w:val="008A618D"/>
    <w:rsid w:val="008B0AE8"/>
    <w:rsid w:val="008B0F4D"/>
    <w:rsid w:val="008B1BA2"/>
    <w:rsid w:val="008B37BB"/>
    <w:rsid w:val="008B382D"/>
    <w:rsid w:val="008B3CB5"/>
    <w:rsid w:val="008B4BAA"/>
    <w:rsid w:val="008B618D"/>
    <w:rsid w:val="008B6CAC"/>
    <w:rsid w:val="008C0878"/>
    <w:rsid w:val="008C11BA"/>
    <w:rsid w:val="008C1D60"/>
    <w:rsid w:val="008C2A5D"/>
    <w:rsid w:val="008C2A92"/>
    <w:rsid w:val="008C3442"/>
    <w:rsid w:val="008C3B00"/>
    <w:rsid w:val="008C3BFC"/>
    <w:rsid w:val="008C3E3B"/>
    <w:rsid w:val="008C5A9B"/>
    <w:rsid w:val="008C60E9"/>
    <w:rsid w:val="008C6376"/>
    <w:rsid w:val="008C669E"/>
    <w:rsid w:val="008C7E3D"/>
    <w:rsid w:val="008D14EB"/>
    <w:rsid w:val="008D26E1"/>
    <w:rsid w:val="008D354E"/>
    <w:rsid w:val="008D3F4C"/>
    <w:rsid w:val="008D44E1"/>
    <w:rsid w:val="008D50CE"/>
    <w:rsid w:val="008D69B5"/>
    <w:rsid w:val="008E0E5C"/>
    <w:rsid w:val="008E177D"/>
    <w:rsid w:val="008E1BCA"/>
    <w:rsid w:val="008E2A40"/>
    <w:rsid w:val="008E31E9"/>
    <w:rsid w:val="008E5342"/>
    <w:rsid w:val="008E6BBB"/>
    <w:rsid w:val="008F0124"/>
    <w:rsid w:val="008F071C"/>
    <w:rsid w:val="008F15B0"/>
    <w:rsid w:val="008F3200"/>
    <w:rsid w:val="008F380B"/>
    <w:rsid w:val="008F3C23"/>
    <w:rsid w:val="008F4BDE"/>
    <w:rsid w:val="008F5493"/>
    <w:rsid w:val="008F6B5D"/>
    <w:rsid w:val="008F6EED"/>
    <w:rsid w:val="008F7610"/>
    <w:rsid w:val="008F79CC"/>
    <w:rsid w:val="00900F9B"/>
    <w:rsid w:val="00901327"/>
    <w:rsid w:val="00901A8E"/>
    <w:rsid w:val="00902935"/>
    <w:rsid w:val="0090317A"/>
    <w:rsid w:val="0090374A"/>
    <w:rsid w:val="00904188"/>
    <w:rsid w:val="0090441C"/>
    <w:rsid w:val="00904487"/>
    <w:rsid w:val="0090483A"/>
    <w:rsid w:val="009064EB"/>
    <w:rsid w:val="0090689E"/>
    <w:rsid w:val="00907C35"/>
    <w:rsid w:val="009106BA"/>
    <w:rsid w:val="0091204F"/>
    <w:rsid w:val="009131D2"/>
    <w:rsid w:val="009140D0"/>
    <w:rsid w:val="00914290"/>
    <w:rsid w:val="0091543B"/>
    <w:rsid w:val="00917279"/>
    <w:rsid w:val="00921620"/>
    <w:rsid w:val="00923552"/>
    <w:rsid w:val="009241CD"/>
    <w:rsid w:val="009243E2"/>
    <w:rsid w:val="00930751"/>
    <w:rsid w:val="009328CC"/>
    <w:rsid w:val="00936088"/>
    <w:rsid w:val="0093767B"/>
    <w:rsid w:val="00943783"/>
    <w:rsid w:val="009448FE"/>
    <w:rsid w:val="00944D4B"/>
    <w:rsid w:val="00945A15"/>
    <w:rsid w:val="0094612E"/>
    <w:rsid w:val="0094697D"/>
    <w:rsid w:val="00950F0C"/>
    <w:rsid w:val="00951E3C"/>
    <w:rsid w:val="00954074"/>
    <w:rsid w:val="00954522"/>
    <w:rsid w:val="0095462C"/>
    <w:rsid w:val="00954DF6"/>
    <w:rsid w:val="0095575F"/>
    <w:rsid w:val="00955943"/>
    <w:rsid w:val="00955A8B"/>
    <w:rsid w:val="00955C2B"/>
    <w:rsid w:val="00955E02"/>
    <w:rsid w:val="009560CB"/>
    <w:rsid w:val="00960C15"/>
    <w:rsid w:val="009615D7"/>
    <w:rsid w:val="0096221F"/>
    <w:rsid w:val="009637A5"/>
    <w:rsid w:val="00963A6D"/>
    <w:rsid w:val="00964434"/>
    <w:rsid w:val="0096508E"/>
    <w:rsid w:val="009659FF"/>
    <w:rsid w:val="00966C2F"/>
    <w:rsid w:val="00967831"/>
    <w:rsid w:val="00971B09"/>
    <w:rsid w:val="00975048"/>
    <w:rsid w:val="00975498"/>
    <w:rsid w:val="00975596"/>
    <w:rsid w:val="00976401"/>
    <w:rsid w:val="00977934"/>
    <w:rsid w:val="00981C41"/>
    <w:rsid w:val="00983517"/>
    <w:rsid w:val="00983910"/>
    <w:rsid w:val="009849B6"/>
    <w:rsid w:val="00984A1B"/>
    <w:rsid w:val="00987779"/>
    <w:rsid w:val="0099206A"/>
    <w:rsid w:val="009925B6"/>
    <w:rsid w:val="009935B1"/>
    <w:rsid w:val="00993D01"/>
    <w:rsid w:val="0099442D"/>
    <w:rsid w:val="009A019A"/>
    <w:rsid w:val="009A1620"/>
    <w:rsid w:val="009A2451"/>
    <w:rsid w:val="009A2682"/>
    <w:rsid w:val="009A278E"/>
    <w:rsid w:val="009A2E57"/>
    <w:rsid w:val="009A347C"/>
    <w:rsid w:val="009A47E7"/>
    <w:rsid w:val="009A579D"/>
    <w:rsid w:val="009A5E57"/>
    <w:rsid w:val="009B03DE"/>
    <w:rsid w:val="009B134B"/>
    <w:rsid w:val="009B1432"/>
    <w:rsid w:val="009B2CAC"/>
    <w:rsid w:val="009B465A"/>
    <w:rsid w:val="009B710B"/>
    <w:rsid w:val="009B72FA"/>
    <w:rsid w:val="009C0727"/>
    <w:rsid w:val="009C64C3"/>
    <w:rsid w:val="009C7691"/>
    <w:rsid w:val="009D0242"/>
    <w:rsid w:val="009D087A"/>
    <w:rsid w:val="009D14BC"/>
    <w:rsid w:val="009D295B"/>
    <w:rsid w:val="009D30A1"/>
    <w:rsid w:val="009D3888"/>
    <w:rsid w:val="009D4083"/>
    <w:rsid w:val="009D67E7"/>
    <w:rsid w:val="009D6C3C"/>
    <w:rsid w:val="009D70D7"/>
    <w:rsid w:val="009E189D"/>
    <w:rsid w:val="009E1E6A"/>
    <w:rsid w:val="009E1E8A"/>
    <w:rsid w:val="009E449B"/>
    <w:rsid w:val="009E4AD4"/>
    <w:rsid w:val="009E4D12"/>
    <w:rsid w:val="009E75B7"/>
    <w:rsid w:val="009E7DBD"/>
    <w:rsid w:val="009F02A9"/>
    <w:rsid w:val="009F0992"/>
    <w:rsid w:val="009F0B9A"/>
    <w:rsid w:val="009F0E3E"/>
    <w:rsid w:val="009F152E"/>
    <w:rsid w:val="009F1C56"/>
    <w:rsid w:val="009F3D03"/>
    <w:rsid w:val="009F4691"/>
    <w:rsid w:val="009F4900"/>
    <w:rsid w:val="009F4E87"/>
    <w:rsid w:val="00A01054"/>
    <w:rsid w:val="00A0110C"/>
    <w:rsid w:val="00A01544"/>
    <w:rsid w:val="00A02D22"/>
    <w:rsid w:val="00A02DD9"/>
    <w:rsid w:val="00A0357F"/>
    <w:rsid w:val="00A0595A"/>
    <w:rsid w:val="00A078C5"/>
    <w:rsid w:val="00A10708"/>
    <w:rsid w:val="00A10B82"/>
    <w:rsid w:val="00A12436"/>
    <w:rsid w:val="00A152DB"/>
    <w:rsid w:val="00A154EE"/>
    <w:rsid w:val="00A15E51"/>
    <w:rsid w:val="00A169D7"/>
    <w:rsid w:val="00A2081F"/>
    <w:rsid w:val="00A20DD1"/>
    <w:rsid w:val="00A219F6"/>
    <w:rsid w:val="00A234F0"/>
    <w:rsid w:val="00A24BF3"/>
    <w:rsid w:val="00A25570"/>
    <w:rsid w:val="00A275EF"/>
    <w:rsid w:val="00A3036D"/>
    <w:rsid w:val="00A31BCD"/>
    <w:rsid w:val="00A32693"/>
    <w:rsid w:val="00A329AB"/>
    <w:rsid w:val="00A34B69"/>
    <w:rsid w:val="00A35C04"/>
    <w:rsid w:val="00A36ABA"/>
    <w:rsid w:val="00A37219"/>
    <w:rsid w:val="00A4032C"/>
    <w:rsid w:val="00A4100C"/>
    <w:rsid w:val="00A41F00"/>
    <w:rsid w:val="00A41FD3"/>
    <w:rsid w:val="00A4354B"/>
    <w:rsid w:val="00A445F3"/>
    <w:rsid w:val="00A4709B"/>
    <w:rsid w:val="00A50E0E"/>
    <w:rsid w:val="00A51A9E"/>
    <w:rsid w:val="00A520EA"/>
    <w:rsid w:val="00A522F0"/>
    <w:rsid w:val="00A52428"/>
    <w:rsid w:val="00A5255F"/>
    <w:rsid w:val="00A52923"/>
    <w:rsid w:val="00A53174"/>
    <w:rsid w:val="00A54019"/>
    <w:rsid w:val="00A551C0"/>
    <w:rsid w:val="00A55380"/>
    <w:rsid w:val="00A55A80"/>
    <w:rsid w:val="00A566E3"/>
    <w:rsid w:val="00A56E39"/>
    <w:rsid w:val="00A63C98"/>
    <w:rsid w:val="00A64E33"/>
    <w:rsid w:val="00A64E87"/>
    <w:rsid w:val="00A6569F"/>
    <w:rsid w:val="00A6590A"/>
    <w:rsid w:val="00A66CB6"/>
    <w:rsid w:val="00A67DE5"/>
    <w:rsid w:val="00A7008F"/>
    <w:rsid w:val="00A71225"/>
    <w:rsid w:val="00A74C22"/>
    <w:rsid w:val="00A75177"/>
    <w:rsid w:val="00A756AA"/>
    <w:rsid w:val="00A765B1"/>
    <w:rsid w:val="00A77488"/>
    <w:rsid w:val="00A8078E"/>
    <w:rsid w:val="00A814D0"/>
    <w:rsid w:val="00A81B15"/>
    <w:rsid w:val="00A81B91"/>
    <w:rsid w:val="00A829DD"/>
    <w:rsid w:val="00A82DC5"/>
    <w:rsid w:val="00A8485D"/>
    <w:rsid w:val="00A85373"/>
    <w:rsid w:val="00A858E6"/>
    <w:rsid w:val="00A85D71"/>
    <w:rsid w:val="00A85DBC"/>
    <w:rsid w:val="00A86B83"/>
    <w:rsid w:val="00A91209"/>
    <w:rsid w:val="00A91E40"/>
    <w:rsid w:val="00A91E4E"/>
    <w:rsid w:val="00A92763"/>
    <w:rsid w:val="00A93808"/>
    <w:rsid w:val="00A95C65"/>
    <w:rsid w:val="00AA127E"/>
    <w:rsid w:val="00AA1E31"/>
    <w:rsid w:val="00AA3680"/>
    <w:rsid w:val="00AA422A"/>
    <w:rsid w:val="00AA58D6"/>
    <w:rsid w:val="00AA63BB"/>
    <w:rsid w:val="00AB2AA5"/>
    <w:rsid w:val="00AB2D59"/>
    <w:rsid w:val="00AB5659"/>
    <w:rsid w:val="00AB602F"/>
    <w:rsid w:val="00AB6E69"/>
    <w:rsid w:val="00AB71FD"/>
    <w:rsid w:val="00AC0B1D"/>
    <w:rsid w:val="00AC1DE0"/>
    <w:rsid w:val="00AC35A8"/>
    <w:rsid w:val="00AC47B6"/>
    <w:rsid w:val="00AC5332"/>
    <w:rsid w:val="00AC5487"/>
    <w:rsid w:val="00AC6325"/>
    <w:rsid w:val="00AC66AC"/>
    <w:rsid w:val="00AC70B9"/>
    <w:rsid w:val="00AD4D40"/>
    <w:rsid w:val="00AD52B1"/>
    <w:rsid w:val="00AD52BA"/>
    <w:rsid w:val="00AD650B"/>
    <w:rsid w:val="00AE0825"/>
    <w:rsid w:val="00AE11B9"/>
    <w:rsid w:val="00AE120C"/>
    <w:rsid w:val="00AE1FEF"/>
    <w:rsid w:val="00AE29DF"/>
    <w:rsid w:val="00AE46F7"/>
    <w:rsid w:val="00AE56BB"/>
    <w:rsid w:val="00AE78E1"/>
    <w:rsid w:val="00AE7A4A"/>
    <w:rsid w:val="00AF16C8"/>
    <w:rsid w:val="00AF1A67"/>
    <w:rsid w:val="00AF42CB"/>
    <w:rsid w:val="00AF5453"/>
    <w:rsid w:val="00AF77FD"/>
    <w:rsid w:val="00B0054D"/>
    <w:rsid w:val="00B00D97"/>
    <w:rsid w:val="00B0241A"/>
    <w:rsid w:val="00B06014"/>
    <w:rsid w:val="00B0660C"/>
    <w:rsid w:val="00B06B6F"/>
    <w:rsid w:val="00B07D7B"/>
    <w:rsid w:val="00B10B7E"/>
    <w:rsid w:val="00B10BF5"/>
    <w:rsid w:val="00B111B8"/>
    <w:rsid w:val="00B112EF"/>
    <w:rsid w:val="00B11BA6"/>
    <w:rsid w:val="00B13CFA"/>
    <w:rsid w:val="00B14CCD"/>
    <w:rsid w:val="00B1773B"/>
    <w:rsid w:val="00B177E5"/>
    <w:rsid w:val="00B17DAA"/>
    <w:rsid w:val="00B2017A"/>
    <w:rsid w:val="00B20319"/>
    <w:rsid w:val="00B20A6E"/>
    <w:rsid w:val="00B20E7E"/>
    <w:rsid w:val="00B214D7"/>
    <w:rsid w:val="00B21FA9"/>
    <w:rsid w:val="00B23CBD"/>
    <w:rsid w:val="00B2532A"/>
    <w:rsid w:val="00B256FD"/>
    <w:rsid w:val="00B2770C"/>
    <w:rsid w:val="00B27F9F"/>
    <w:rsid w:val="00B300C3"/>
    <w:rsid w:val="00B30627"/>
    <w:rsid w:val="00B306EA"/>
    <w:rsid w:val="00B3269E"/>
    <w:rsid w:val="00B33106"/>
    <w:rsid w:val="00B3463A"/>
    <w:rsid w:val="00B34BA9"/>
    <w:rsid w:val="00B34E41"/>
    <w:rsid w:val="00B379D8"/>
    <w:rsid w:val="00B4098D"/>
    <w:rsid w:val="00B42D47"/>
    <w:rsid w:val="00B450D1"/>
    <w:rsid w:val="00B45322"/>
    <w:rsid w:val="00B47A69"/>
    <w:rsid w:val="00B50088"/>
    <w:rsid w:val="00B51542"/>
    <w:rsid w:val="00B53129"/>
    <w:rsid w:val="00B53359"/>
    <w:rsid w:val="00B5461D"/>
    <w:rsid w:val="00B5469F"/>
    <w:rsid w:val="00B546B6"/>
    <w:rsid w:val="00B54EA4"/>
    <w:rsid w:val="00B56569"/>
    <w:rsid w:val="00B56B4F"/>
    <w:rsid w:val="00B57086"/>
    <w:rsid w:val="00B604D4"/>
    <w:rsid w:val="00B609D8"/>
    <w:rsid w:val="00B60BC0"/>
    <w:rsid w:val="00B61E6C"/>
    <w:rsid w:val="00B628B3"/>
    <w:rsid w:val="00B62CD7"/>
    <w:rsid w:val="00B664FC"/>
    <w:rsid w:val="00B67E76"/>
    <w:rsid w:val="00B705F5"/>
    <w:rsid w:val="00B70E29"/>
    <w:rsid w:val="00B71ACA"/>
    <w:rsid w:val="00B721E5"/>
    <w:rsid w:val="00B73154"/>
    <w:rsid w:val="00B752B0"/>
    <w:rsid w:val="00B7784E"/>
    <w:rsid w:val="00B809A2"/>
    <w:rsid w:val="00B80F90"/>
    <w:rsid w:val="00B82065"/>
    <w:rsid w:val="00B82870"/>
    <w:rsid w:val="00B828B9"/>
    <w:rsid w:val="00B8292D"/>
    <w:rsid w:val="00B83CE7"/>
    <w:rsid w:val="00B8446C"/>
    <w:rsid w:val="00B8523B"/>
    <w:rsid w:val="00B85EF6"/>
    <w:rsid w:val="00B860B9"/>
    <w:rsid w:val="00B87903"/>
    <w:rsid w:val="00B879E9"/>
    <w:rsid w:val="00B87B6C"/>
    <w:rsid w:val="00B909CA"/>
    <w:rsid w:val="00B910FF"/>
    <w:rsid w:val="00B91168"/>
    <w:rsid w:val="00B934D4"/>
    <w:rsid w:val="00B94136"/>
    <w:rsid w:val="00B95577"/>
    <w:rsid w:val="00B96148"/>
    <w:rsid w:val="00B965FC"/>
    <w:rsid w:val="00BA12ED"/>
    <w:rsid w:val="00BA1ABF"/>
    <w:rsid w:val="00BA1BCF"/>
    <w:rsid w:val="00BA3702"/>
    <w:rsid w:val="00BA39EF"/>
    <w:rsid w:val="00BA5A71"/>
    <w:rsid w:val="00BA6C6E"/>
    <w:rsid w:val="00BA6D33"/>
    <w:rsid w:val="00BA7F87"/>
    <w:rsid w:val="00BB0261"/>
    <w:rsid w:val="00BB0427"/>
    <w:rsid w:val="00BB142C"/>
    <w:rsid w:val="00BB1E9B"/>
    <w:rsid w:val="00BB3DBB"/>
    <w:rsid w:val="00BB3DFF"/>
    <w:rsid w:val="00BB4523"/>
    <w:rsid w:val="00BB4BD9"/>
    <w:rsid w:val="00BB5041"/>
    <w:rsid w:val="00BB6469"/>
    <w:rsid w:val="00BB7E52"/>
    <w:rsid w:val="00BC02C8"/>
    <w:rsid w:val="00BC0A28"/>
    <w:rsid w:val="00BC0F87"/>
    <w:rsid w:val="00BC1ED3"/>
    <w:rsid w:val="00BC217F"/>
    <w:rsid w:val="00BC430B"/>
    <w:rsid w:val="00BC64B2"/>
    <w:rsid w:val="00BC6CA4"/>
    <w:rsid w:val="00BC7C82"/>
    <w:rsid w:val="00BD2910"/>
    <w:rsid w:val="00BD2DC3"/>
    <w:rsid w:val="00BD38E1"/>
    <w:rsid w:val="00BD41CC"/>
    <w:rsid w:val="00BD4DDB"/>
    <w:rsid w:val="00BD58CD"/>
    <w:rsid w:val="00BD6500"/>
    <w:rsid w:val="00BD6D67"/>
    <w:rsid w:val="00BD78A8"/>
    <w:rsid w:val="00BD791E"/>
    <w:rsid w:val="00BE0489"/>
    <w:rsid w:val="00BE2152"/>
    <w:rsid w:val="00BE2338"/>
    <w:rsid w:val="00BE2B1A"/>
    <w:rsid w:val="00BE3BD2"/>
    <w:rsid w:val="00BE3E91"/>
    <w:rsid w:val="00BE4C18"/>
    <w:rsid w:val="00BE7DB4"/>
    <w:rsid w:val="00BF1F30"/>
    <w:rsid w:val="00BF2C9B"/>
    <w:rsid w:val="00BF4E40"/>
    <w:rsid w:val="00BF5D84"/>
    <w:rsid w:val="00BF6F01"/>
    <w:rsid w:val="00C00F69"/>
    <w:rsid w:val="00C02167"/>
    <w:rsid w:val="00C02369"/>
    <w:rsid w:val="00C02377"/>
    <w:rsid w:val="00C04865"/>
    <w:rsid w:val="00C06FC1"/>
    <w:rsid w:val="00C06FE1"/>
    <w:rsid w:val="00C11BAB"/>
    <w:rsid w:val="00C132B7"/>
    <w:rsid w:val="00C154F7"/>
    <w:rsid w:val="00C16577"/>
    <w:rsid w:val="00C16C5A"/>
    <w:rsid w:val="00C16FF5"/>
    <w:rsid w:val="00C217EF"/>
    <w:rsid w:val="00C22362"/>
    <w:rsid w:val="00C2366B"/>
    <w:rsid w:val="00C2385A"/>
    <w:rsid w:val="00C2558B"/>
    <w:rsid w:val="00C25AF4"/>
    <w:rsid w:val="00C25FAE"/>
    <w:rsid w:val="00C305A5"/>
    <w:rsid w:val="00C30821"/>
    <w:rsid w:val="00C30A29"/>
    <w:rsid w:val="00C30EA4"/>
    <w:rsid w:val="00C31006"/>
    <w:rsid w:val="00C32A19"/>
    <w:rsid w:val="00C359F8"/>
    <w:rsid w:val="00C37CD2"/>
    <w:rsid w:val="00C41A76"/>
    <w:rsid w:val="00C444FF"/>
    <w:rsid w:val="00C44924"/>
    <w:rsid w:val="00C44E67"/>
    <w:rsid w:val="00C45BD4"/>
    <w:rsid w:val="00C47FB1"/>
    <w:rsid w:val="00C50676"/>
    <w:rsid w:val="00C513C0"/>
    <w:rsid w:val="00C524BE"/>
    <w:rsid w:val="00C52BDA"/>
    <w:rsid w:val="00C559CC"/>
    <w:rsid w:val="00C55A94"/>
    <w:rsid w:val="00C6225B"/>
    <w:rsid w:val="00C6237F"/>
    <w:rsid w:val="00C66186"/>
    <w:rsid w:val="00C66897"/>
    <w:rsid w:val="00C66ECA"/>
    <w:rsid w:val="00C66F71"/>
    <w:rsid w:val="00C70FFB"/>
    <w:rsid w:val="00C7254C"/>
    <w:rsid w:val="00C73BC8"/>
    <w:rsid w:val="00C742E4"/>
    <w:rsid w:val="00C74308"/>
    <w:rsid w:val="00C77046"/>
    <w:rsid w:val="00C773D8"/>
    <w:rsid w:val="00C8023D"/>
    <w:rsid w:val="00C81445"/>
    <w:rsid w:val="00C81936"/>
    <w:rsid w:val="00C81DF2"/>
    <w:rsid w:val="00C81F3B"/>
    <w:rsid w:val="00C82277"/>
    <w:rsid w:val="00C83888"/>
    <w:rsid w:val="00C83C97"/>
    <w:rsid w:val="00C8492D"/>
    <w:rsid w:val="00C86377"/>
    <w:rsid w:val="00C90A80"/>
    <w:rsid w:val="00C90E68"/>
    <w:rsid w:val="00C92E43"/>
    <w:rsid w:val="00C93A2E"/>
    <w:rsid w:val="00C948E3"/>
    <w:rsid w:val="00C964AE"/>
    <w:rsid w:val="00CA188E"/>
    <w:rsid w:val="00CA3DB0"/>
    <w:rsid w:val="00CA59EE"/>
    <w:rsid w:val="00CA648F"/>
    <w:rsid w:val="00CA7122"/>
    <w:rsid w:val="00CA7554"/>
    <w:rsid w:val="00CA762D"/>
    <w:rsid w:val="00CA7CC3"/>
    <w:rsid w:val="00CB0504"/>
    <w:rsid w:val="00CB0A2C"/>
    <w:rsid w:val="00CB3A55"/>
    <w:rsid w:val="00CB424D"/>
    <w:rsid w:val="00CB4372"/>
    <w:rsid w:val="00CB5A7C"/>
    <w:rsid w:val="00CB6683"/>
    <w:rsid w:val="00CB7B32"/>
    <w:rsid w:val="00CC2BCE"/>
    <w:rsid w:val="00CC2C80"/>
    <w:rsid w:val="00CC32A2"/>
    <w:rsid w:val="00CC711B"/>
    <w:rsid w:val="00CD141A"/>
    <w:rsid w:val="00CD19AA"/>
    <w:rsid w:val="00CD1ABC"/>
    <w:rsid w:val="00CD1D3B"/>
    <w:rsid w:val="00CD230D"/>
    <w:rsid w:val="00CD26E8"/>
    <w:rsid w:val="00CD2C27"/>
    <w:rsid w:val="00CD2E36"/>
    <w:rsid w:val="00CD3EBB"/>
    <w:rsid w:val="00CD6646"/>
    <w:rsid w:val="00CD6B7F"/>
    <w:rsid w:val="00CE09A3"/>
    <w:rsid w:val="00CE215B"/>
    <w:rsid w:val="00CE38D2"/>
    <w:rsid w:val="00CE3C2C"/>
    <w:rsid w:val="00CE4905"/>
    <w:rsid w:val="00CE6CCF"/>
    <w:rsid w:val="00CE7746"/>
    <w:rsid w:val="00CE7AEF"/>
    <w:rsid w:val="00CE7B9B"/>
    <w:rsid w:val="00CF35F4"/>
    <w:rsid w:val="00CF3D40"/>
    <w:rsid w:val="00CF4264"/>
    <w:rsid w:val="00CF5FA8"/>
    <w:rsid w:val="00CF60CE"/>
    <w:rsid w:val="00CF675E"/>
    <w:rsid w:val="00D033E4"/>
    <w:rsid w:val="00D04B17"/>
    <w:rsid w:val="00D05D62"/>
    <w:rsid w:val="00D05D8B"/>
    <w:rsid w:val="00D05F51"/>
    <w:rsid w:val="00D05FFB"/>
    <w:rsid w:val="00D07663"/>
    <w:rsid w:val="00D10B52"/>
    <w:rsid w:val="00D1160F"/>
    <w:rsid w:val="00D121AC"/>
    <w:rsid w:val="00D1435C"/>
    <w:rsid w:val="00D15F6A"/>
    <w:rsid w:val="00D164B7"/>
    <w:rsid w:val="00D16779"/>
    <w:rsid w:val="00D174AE"/>
    <w:rsid w:val="00D205BB"/>
    <w:rsid w:val="00D213C7"/>
    <w:rsid w:val="00D22BB5"/>
    <w:rsid w:val="00D23A8C"/>
    <w:rsid w:val="00D2461E"/>
    <w:rsid w:val="00D24BAD"/>
    <w:rsid w:val="00D24D0D"/>
    <w:rsid w:val="00D25708"/>
    <w:rsid w:val="00D26472"/>
    <w:rsid w:val="00D26DD0"/>
    <w:rsid w:val="00D272EC"/>
    <w:rsid w:val="00D32900"/>
    <w:rsid w:val="00D33C97"/>
    <w:rsid w:val="00D3468B"/>
    <w:rsid w:val="00D34E97"/>
    <w:rsid w:val="00D354E1"/>
    <w:rsid w:val="00D35F08"/>
    <w:rsid w:val="00D36391"/>
    <w:rsid w:val="00D367AF"/>
    <w:rsid w:val="00D36E55"/>
    <w:rsid w:val="00D4313E"/>
    <w:rsid w:val="00D43979"/>
    <w:rsid w:val="00D43C41"/>
    <w:rsid w:val="00D447D1"/>
    <w:rsid w:val="00D45141"/>
    <w:rsid w:val="00D45215"/>
    <w:rsid w:val="00D45850"/>
    <w:rsid w:val="00D45FD5"/>
    <w:rsid w:val="00D46AF6"/>
    <w:rsid w:val="00D505CD"/>
    <w:rsid w:val="00D5065F"/>
    <w:rsid w:val="00D520E4"/>
    <w:rsid w:val="00D5238E"/>
    <w:rsid w:val="00D52A8E"/>
    <w:rsid w:val="00D54071"/>
    <w:rsid w:val="00D552CC"/>
    <w:rsid w:val="00D55941"/>
    <w:rsid w:val="00D559D2"/>
    <w:rsid w:val="00D55B60"/>
    <w:rsid w:val="00D561E8"/>
    <w:rsid w:val="00D56306"/>
    <w:rsid w:val="00D564AA"/>
    <w:rsid w:val="00D567FC"/>
    <w:rsid w:val="00D56AB7"/>
    <w:rsid w:val="00D5721D"/>
    <w:rsid w:val="00D57DFA"/>
    <w:rsid w:val="00D60D85"/>
    <w:rsid w:val="00D6255A"/>
    <w:rsid w:val="00D64952"/>
    <w:rsid w:val="00D66DA2"/>
    <w:rsid w:val="00D67279"/>
    <w:rsid w:val="00D70EE6"/>
    <w:rsid w:val="00D71C66"/>
    <w:rsid w:val="00D72624"/>
    <w:rsid w:val="00D73244"/>
    <w:rsid w:val="00D752BE"/>
    <w:rsid w:val="00D76B29"/>
    <w:rsid w:val="00D7750F"/>
    <w:rsid w:val="00D7767C"/>
    <w:rsid w:val="00D77741"/>
    <w:rsid w:val="00D802D4"/>
    <w:rsid w:val="00D804A7"/>
    <w:rsid w:val="00D835BE"/>
    <w:rsid w:val="00D86FF5"/>
    <w:rsid w:val="00D9031D"/>
    <w:rsid w:val="00D907EF"/>
    <w:rsid w:val="00D90B6A"/>
    <w:rsid w:val="00D9186A"/>
    <w:rsid w:val="00D942B1"/>
    <w:rsid w:val="00D94582"/>
    <w:rsid w:val="00D953DA"/>
    <w:rsid w:val="00D95924"/>
    <w:rsid w:val="00D97A63"/>
    <w:rsid w:val="00D97DA3"/>
    <w:rsid w:val="00DA033B"/>
    <w:rsid w:val="00DA33B9"/>
    <w:rsid w:val="00DA41AF"/>
    <w:rsid w:val="00DA42CD"/>
    <w:rsid w:val="00DA51CB"/>
    <w:rsid w:val="00DA54B9"/>
    <w:rsid w:val="00DA58F6"/>
    <w:rsid w:val="00DA6B4A"/>
    <w:rsid w:val="00DA7D98"/>
    <w:rsid w:val="00DB0F0F"/>
    <w:rsid w:val="00DB3A71"/>
    <w:rsid w:val="00DB662D"/>
    <w:rsid w:val="00DC1163"/>
    <w:rsid w:val="00DC3BCB"/>
    <w:rsid w:val="00DC428B"/>
    <w:rsid w:val="00DC58E4"/>
    <w:rsid w:val="00DC74A5"/>
    <w:rsid w:val="00DD031B"/>
    <w:rsid w:val="00DD0B98"/>
    <w:rsid w:val="00DD0C2C"/>
    <w:rsid w:val="00DD1AA4"/>
    <w:rsid w:val="00DD2BD0"/>
    <w:rsid w:val="00DD4C03"/>
    <w:rsid w:val="00DD507E"/>
    <w:rsid w:val="00DD5DC5"/>
    <w:rsid w:val="00DD619A"/>
    <w:rsid w:val="00DD69DC"/>
    <w:rsid w:val="00DD6C37"/>
    <w:rsid w:val="00DE0FCE"/>
    <w:rsid w:val="00DE12F7"/>
    <w:rsid w:val="00DE1457"/>
    <w:rsid w:val="00DE174B"/>
    <w:rsid w:val="00DE18A2"/>
    <w:rsid w:val="00DE2BB2"/>
    <w:rsid w:val="00DE378B"/>
    <w:rsid w:val="00DE3E45"/>
    <w:rsid w:val="00DE3EBD"/>
    <w:rsid w:val="00DE4214"/>
    <w:rsid w:val="00DE6765"/>
    <w:rsid w:val="00DE70EF"/>
    <w:rsid w:val="00DF1F28"/>
    <w:rsid w:val="00DF25A9"/>
    <w:rsid w:val="00DF277E"/>
    <w:rsid w:val="00DF5CC6"/>
    <w:rsid w:val="00DF671D"/>
    <w:rsid w:val="00DF6C6C"/>
    <w:rsid w:val="00DF75BF"/>
    <w:rsid w:val="00E01F90"/>
    <w:rsid w:val="00E0395D"/>
    <w:rsid w:val="00E04097"/>
    <w:rsid w:val="00E04577"/>
    <w:rsid w:val="00E046ED"/>
    <w:rsid w:val="00E048C4"/>
    <w:rsid w:val="00E068DB"/>
    <w:rsid w:val="00E0690C"/>
    <w:rsid w:val="00E07C61"/>
    <w:rsid w:val="00E10AD7"/>
    <w:rsid w:val="00E11EF4"/>
    <w:rsid w:val="00E13467"/>
    <w:rsid w:val="00E14085"/>
    <w:rsid w:val="00E14C58"/>
    <w:rsid w:val="00E16C4F"/>
    <w:rsid w:val="00E17942"/>
    <w:rsid w:val="00E20A0A"/>
    <w:rsid w:val="00E21821"/>
    <w:rsid w:val="00E22AB6"/>
    <w:rsid w:val="00E22F9D"/>
    <w:rsid w:val="00E22FB8"/>
    <w:rsid w:val="00E23159"/>
    <w:rsid w:val="00E25C18"/>
    <w:rsid w:val="00E26E16"/>
    <w:rsid w:val="00E32066"/>
    <w:rsid w:val="00E32650"/>
    <w:rsid w:val="00E34D20"/>
    <w:rsid w:val="00E354FA"/>
    <w:rsid w:val="00E356E2"/>
    <w:rsid w:val="00E42A5A"/>
    <w:rsid w:val="00E43395"/>
    <w:rsid w:val="00E449FE"/>
    <w:rsid w:val="00E453AE"/>
    <w:rsid w:val="00E45F4B"/>
    <w:rsid w:val="00E5084A"/>
    <w:rsid w:val="00E51485"/>
    <w:rsid w:val="00E52190"/>
    <w:rsid w:val="00E535EC"/>
    <w:rsid w:val="00E54D72"/>
    <w:rsid w:val="00E55944"/>
    <w:rsid w:val="00E55ABC"/>
    <w:rsid w:val="00E56162"/>
    <w:rsid w:val="00E56639"/>
    <w:rsid w:val="00E57B74"/>
    <w:rsid w:val="00E607DB"/>
    <w:rsid w:val="00E61A44"/>
    <w:rsid w:val="00E61C84"/>
    <w:rsid w:val="00E62088"/>
    <w:rsid w:val="00E630C6"/>
    <w:rsid w:val="00E66FAE"/>
    <w:rsid w:val="00E673BB"/>
    <w:rsid w:val="00E702F3"/>
    <w:rsid w:val="00E70D80"/>
    <w:rsid w:val="00E713BE"/>
    <w:rsid w:val="00E717A5"/>
    <w:rsid w:val="00E80AA3"/>
    <w:rsid w:val="00E81636"/>
    <w:rsid w:val="00E822BA"/>
    <w:rsid w:val="00E83583"/>
    <w:rsid w:val="00E850BC"/>
    <w:rsid w:val="00E856BA"/>
    <w:rsid w:val="00E8629F"/>
    <w:rsid w:val="00E86718"/>
    <w:rsid w:val="00E87634"/>
    <w:rsid w:val="00E93697"/>
    <w:rsid w:val="00EA172C"/>
    <w:rsid w:val="00EA1E1D"/>
    <w:rsid w:val="00EA3C24"/>
    <w:rsid w:val="00EA4428"/>
    <w:rsid w:val="00EA4465"/>
    <w:rsid w:val="00EA497A"/>
    <w:rsid w:val="00EA5997"/>
    <w:rsid w:val="00EA5E4B"/>
    <w:rsid w:val="00EA6C08"/>
    <w:rsid w:val="00EB01EA"/>
    <w:rsid w:val="00EB0BFA"/>
    <w:rsid w:val="00EB0CE9"/>
    <w:rsid w:val="00EB1F08"/>
    <w:rsid w:val="00EB2D21"/>
    <w:rsid w:val="00EB3664"/>
    <w:rsid w:val="00EB401F"/>
    <w:rsid w:val="00EB5323"/>
    <w:rsid w:val="00EB69A6"/>
    <w:rsid w:val="00EB776E"/>
    <w:rsid w:val="00EB7F59"/>
    <w:rsid w:val="00EC08F0"/>
    <w:rsid w:val="00EC5035"/>
    <w:rsid w:val="00EC565F"/>
    <w:rsid w:val="00EC7935"/>
    <w:rsid w:val="00ED03F4"/>
    <w:rsid w:val="00ED066D"/>
    <w:rsid w:val="00ED0B96"/>
    <w:rsid w:val="00ED243A"/>
    <w:rsid w:val="00ED25E4"/>
    <w:rsid w:val="00ED32E3"/>
    <w:rsid w:val="00EE15C1"/>
    <w:rsid w:val="00EE1BF3"/>
    <w:rsid w:val="00EE2BDD"/>
    <w:rsid w:val="00EE3045"/>
    <w:rsid w:val="00EE3E05"/>
    <w:rsid w:val="00EE52FC"/>
    <w:rsid w:val="00EE56F6"/>
    <w:rsid w:val="00EE5B78"/>
    <w:rsid w:val="00EE5D91"/>
    <w:rsid w:val="00EE6164"/>
    <w:rsid w:val="00EE6A5F"/>
    <w:rsid w:val="00EE748A"/>
    <w:rsid w:val="00EE78ED"/>
    <w:rsid w:val="00EE7FD7"/>
    <w:rsid w:val="00EF35AE"/>
    <w:rsid w:val="00EF48EA"/>
    <w:rsid w:val="00EF49E9"/>
    <w:rsid w:val="00EF5489"/>
    <w:rsid w:val="00EF5BB6"/>
    <w:rsid w:val="00EF5DA7"/>
    <w:rsid w:val="00EF7893"/>
    <w:rsid w:val="00EF7FB6"/>
    <w:rsid w:val="00F01045"/>
    <w:rsid w:val="00F02B54"/>
    <w:rsid w:val="00F035EB"/>
    <w:rsid w:val="00F04044"/>
    <w:rsid w:val="00F04D06"/>
    <w:rsid w:val="00F05D0B"/>
    <w:rsid w:val="00F0609A"/>
    <w:rsid w:val="00F065E9"/>
    <w:rsid w:val="00F067BC"/>
    <w:rsid w:val="00F06A13"/>
    <w:rsid w:val="00F072D8"/>
    <w:rsid w:val="00F105B4"/>
    <w:rsid w:val="00F10DF7"/>
    <w:rsid w:val="00F11FEF"/>
    <w:rsid w:val="00F120CC"/>
    <w:rsid w:val="00F12D2F"/>
    <w:rsid w:val="00F1477C"/>
    <w:rsid w:val="00F14DCA"/>
    <w:rsid w:val="00F15241"/>
    <w:rsid w:val="00F17661"/>
    <w:rsid w:val="00F20A0A"/>
    <w:rsid w:val="00F214EF"/>
    <w:rsid w:val="00F21549"/>
    <w:rsid w:val="00F2204C"/>
    <w:rsid w:val="00F23213"/>
    <w:rsid w:val="00F23653"/>
    <w:rsid w:val="00F25D38"/>
    <w:rsid w:val="00F27914"/>
    <w:rsid w:val="00F3253C"/>
    <w:rsid w:val="00F3330D"/>
    <w:rsid w:val="00F3423B"/>
    <w:rsid w:val="00F34B51"/>
    <w:rsid w:val="00F35B54"/>
    <w:rsid w:val="00F36282"/>
    <w:rsid w:val="00F36ABB"/>
    <w:rsid w:val="00F37C2D"/>
    <w:rsid w:val="00F44907"/>
    <w:rsid w:val="00F46745"/>
    <w:rsid w:val="00F47598"/>
    <w:rsid w:val="00F50634"/>
    <w:rsid w:val="00F50643"/>
    <w:rsid w:val="00F53122"/>
    <w:rsid w:val="00F53D3F"/>
    <w:rsid w:val="00F55F19"/>
    <w:rsid w:val="00F56659"/>
    <w:rsid w:val="00F56716"/>
    <w:rsid w:val="00F57369"/>
    <w:rsid w:val="00F605C2"/>
    <w:rsid w:val="00F617EC"/>
    <w:rsid w:val="00F6188B"/>
    <w:rsid w:val="00F621C4"/>
    <w:rsid w:val="00F62735"/>
    <w:rsid w:val="00F6331F"/>
    <w:rsid w:val="00F63976"/>
    <w:rsid w:val="00F64143"/>
    <w:rsid w:val="00F641AE"/>
    <w:rsid w:val="00F64B3E"/>
    <w:rsid w:val="00F65259"/>
    <w:rsid w:val="00F6634D"/>
    <w:rsid w:val="00F6753E"/>
    <w:rsid w:val="00F721C5"/>
    <w:rsid w:val="00F7224D"/>
    <w:rsid w:val="00F74A35"/>
    <w:rsid w:val="00F74B3A"/>
    <w:rsid w:val="00F75696"/>
    <w:rsid w:val="00F75899"/>
    <w:rsid w:val="00F75A4F"/>
    <w:rsid w:val="00F76971"/>
    <w:rsid w:val="00F76B9A"/>
    <w:rsid w:val="00F76FA2"/>
    <w:rsid w:val="00F805AE"/>
    <w:rsid w:val="00F80B51"/>
    <w:rsid w:val="00F80E68"/>
    <w:rsid w:val="00F81638"/>
    <w:rsid w:val="00F8381E"/>
    <w:rsid w:val="00F83C10"/>
    <w:rsid w:val="00F84BEB"/>
    <w:rsid w:val="00F857A3"/>
    <w:rsid w:val="00F85FD0"/>
    <w:rsid w:val="00F871B4"/>
    <w:rsid w:val="00F87529"/>
    <w:rsid w:val="00F87C10"/>
    <w:rsid w:val="00F902C3"/>
    <w:rsid w:val="00F90656"/>
    <w:rsid w:val="00F90D35"/>
    <w:rsid w:val="00F94943"/>
    <w:rsid w:val="00F95112"/>
    <w:rsid w:val="00F9594C"/>
    <w:rsid w:val="00F95BC3"/>
    <w:rsid w:val="00F95D69"/>
    <w:rsid w:val="00F96151"/>
    <w:rsid w:val="00F97654"/>
    <w:rsid w:val="00F9767B"/>
    <w:rsid w:val="00F9790A"/>
    <w:rsid w:val="00FA085E"/>
    <w:rsid w:val="00FA149C"/>
    <w:rsid w:val="00FA1B0C"/>
    <w:rsid w:val="00FA1BF4"/>
    <w:rsid w:val="00FA2B27"/>
    <w:rsid w:val="00FA2E4F"/>
    <w:rsid w:val="00FA3174"/>
    <w:rsid w:val="00FA47B3"/>
    <w:rsid w:val="00FA5C89"/>
    <w:rsid w:val="00FA5C95"/>
    <w:rsid w:val="00FA69A0"/>
    <w:rsid w:val="00FB0688"/>
    <w:rsid w:val="00FB1E20"/>
    <w:rsid w:val="00FB2299"/>
    <w:rsid w:val="00FB2499"/>
    <w:rsid w:val="00FB273E"/>
    <w:rsid w:val="00FB340F"/>
    <w:rsid w:val="00FB5A5F"/>
    <w:rsid w:val="00FB640A"/>
    <w:rsid w:val="00FB6410"/>
    <w:rsid w:val="00FB64AB"/>
    <w:rsid w:val="00FB65CA"/>
    <w:rsid w:val="00FB6BD2"/>
    <w:rsid w:val="00FC051F"/>
    <w:rsid w:val="00FC14E7"/>
    <w:rsid w:val="00FC1B45"/>
    <w:rsid w:val="00FC3C19"/>
    <w:rsid w:val="00FC46BC"/>
    <w:rsid w:val="00FC5808"/>
    <w:rsid w:val="00FC69A9"/>
    <w:rsid w:val="00FC69F5"/>
    <w:rsid w:val="00FD063A"/>
    <w:rsid w:val="00FD103E"/>
    <w:rsid w:val="00FD3A47"/>
    <w:rsid w:val="00FD45BD"/>
    <w:rsid w:val="00FD498E"/>
    <w:rsid w:val="00FD4DCD"/>
    <w:rsid w:val="00FD4DF8"/>
    <w:rsid w:val="00FD769A"/>
    <w:rsid w:val="00FE30D7"/>
    <w:rsid w:val="00FE3C4C"/>
    <w:rsid w:val="00FE5943"/>
    <w:rsid w:val="00FE6CF1"/>
    <w:rsid w:val="00FE6F14"/>
    <w:rsid w:val="00FE709C"/>
    <w:rsid w:val="00FE76DD"/>
    <w:rsid w:val="00FF0B5B"/>
    <w:rsid w:val="00FF0BB8"/>
    <w:rsid w:val="00FF0C15"/>
    <w:rsid w:val="00FF380C"/>
    <w:rsid w:val="00FF3EB2"/>
    <w:rsid w:val="00FF4498"/>
    <w:rsid w:val="00FF534F"/>
    <w:rsid w:val="00FF5DA6"/>
    <w:rsid w:val="00FF6A9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797875D-9519-4D83-90F3-0F34FB31B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5EE1"/>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table" w:styleId="TableGrid">
    <w:name w:val="Table Grid"/>
    <w:basedOn w:val="TableNormal"/>
    <w:uiPriority w:val="59"/>
    <w:rsid w:val="00D143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12D2F"/>
    <w:rPr>
      <w:rFonts w:ascii="Arial" w:hAnsi="Arial"/>
      <w:sz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5044F3"/>
    <w:rPr>
      <w:lang w:val="en-GB" w:eastAsia="en-US"/>
    </w:rPr>
  </w:style>
  <w:style w:type="paragraph" w:styleId="CommentSubject">
    <w:name w:val="annotation subject"/>
    <w:basedOn w:val="CommentText"/>
    <w:next w:val="CommentText"/>
    <w:link w:val="CommentSubjectChar"/>
    <w:rsid w:val="008F6B5D"/>
    <w:rPr>
      <w:b/>
      <w:bCs/>
    </w:rPr>
  </w:style>
  <w:style w:type="character" w:customStyle="1" w:styleId="CommentTextChar">
    <w:name w:val="Comment Text Char"/>
    <w:link w:val="CommentText"/>
    <w:semiHidden/>
    <w:rsid w:val="008F6B5D"/>
    <w:rPr>
      <w:lang w:val="en-GB" w:eastAsia="en-US"/>
    </w:rPr>
  </w:style>
  <w:style w:type="character" w:customStyle="1" w:styleId="CommentSubjectChar">
    <w:name w:val="Comment Subject Char"/>
    <w:link w:val="CommentSubject"/>
    <w:rsid w:val="008F6B5D"/>
    <w:rPr>
      <w:lang w:val="en-GB" w:eastAsia="en-US"/>
    </w:rPr>
  </w:style>
  <w:style w:type="character" w:customStyle="1" w:styleId="Heading1Char">
    <w:name w:val="Heading 1 Char"/>
    <w:link w:val="Heading1"/>
    <w:rsid w:val="0042338B"/>
    <w:rPr>
      <w:rFonts w:ascii="Arial" w:hAnsi="Arial"/>
      <w:sz w:val="36"/>
      <w:lang w:val="en-GB" w:eastAsia="en-US"/>
    </w:rPr>
  </w:style>
  <w:style w:type="paragraph" w:customStyle="1" w:styleId="DECISION">
    <w:name w:val="DECISION"/>
    <w:basedOn w:val="Normal"/>
    <w:rsid w:val="00AC6325"/>
    <w:pPr>
      <w:widowControl w:val="0"/>
      <w:numPr>
        <w:numId w:val="3"/>
      </w:numPr>
      <w:spacing w:before="120" w:after="120"/>
      <w:jc w:val="both"/>
    </w:pPr>
    <w:rPr>
      <w:rFonts w:ascii="Arial" w:eastAsia="Times New Roman" w:hAnsi="Arial"/>
      <w:b/>
      <w:color w:val="0000FF"/>
      <w:u w:val="single"/>
    </w:rPr>
  </w:style>
  <w:style w:type="character" w:customStyle="1" w:styleId="LGTdocChar">
    <w:name w:val="LGTdoc_본문 Char"/>
    <w:link w:val="LGTdoc"/>
    <w:qFormat/>
    <w:rsid w:val="002E5D19"/>
    <w:rPr>
      <w:kern w:val="2"/>
      <w:sz w:val="22"/>
      <w:szCs w:val="24"/>
      <w:lang w:val="en-GB" w:eastAsia="ko-KR"/>
    </w:rPr>
  </w:style>
  <w:style w:type="paragraph" w:customStyle="1" w:styleId="LGTdoc">
    <w:name w:val="LGTdoc_본문"/>
    <w:basedOn w:val="Normal"/>
    <w:link w:val="LGTdocChar"/>
    <w:qFormat/>
    <w:rsid w:val="002E5D19"/>
    <w:pPr>
      <w:widowControl w:val="0"/>
      <w:autoSpaceDE w:val="0"/>
      <w:autoSpaceDN w:val="0"/>
      <w:adjustRightInd w:val="0"/>
      <w:snapToGrid w:val="0"/>
      <w:spacing w:afterLines="50" w:after="0" w:line="264" w:lineRule="auto"/>
      <w:jc w:val="both"/>
    </w:pPr>
    <w:rPr>
      <w:kern w:val="2"/>
      <w:sz w:val="22"/>
      <w:szCs w:val="24"/>
      <w:lang w:eastAsia="ko-KR"/>
    </w:rPr>
  </w:style>
  <w:style w:type="character" w:styleId="Emphasis">
    <w:name w:val="Emphasis"/>
    <w:uiPriority w:val="20"/>
    <w:qFormat/>
    <w:rsid w:val="005C7A72"/>
    <w:rPr>
      <w:i/>
      <w:iCs/>
    </w:rPr>
  </w:style>
  <w:style w:type="table" w:styleId="GridTable4-Accent2">
    <w:name w:val="Grid Table 4 Accent 2"/>
    <w:basedOn w:val="TableNormal"/>
    <w:uiPriority w:val="49"/>
    <w:rsid w:val="00EE6A5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2">
    <w:name w:val="List Table 1 Light Accent 2"/>
    <w:basedOn w:val="TableNormal"/>
    <w:uiPriority w:val="46"/>
    <w:rsid w:val="00EE6A5F"/>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01254">
      <w:bodyDiv w:val="1"/>
      <w:marLeft w:val="0"/>
      <w:marRight w:val="0"/>
      <w:marTop w:val="0"/>
      <w:marBottom w:val="0"/>
      <w:divBdr>
        <w:top w:val="none" w:sz="0" w:space="0" w:color="auto"/>
        <w:left w:val="none" w:sz="0" w:space="0" w:color="auto"/>
        <w:bottom w:val="none" w:sz="0" w:space="0" w:color="auto"/>
        <w:right w:val="none" w:sz="0" w:space="0" w:color="auto"/>
      </w:divBdr>
    </w:div>
    <w:div w:id="54596033">
      <w:bodyDiv w:val="1"/>
      <w:marLeft w:val="0"/>
      <w:marRight w:val="0"/>
      <w:marTop w:val="0"/>
      <w:marBottom w:val="0"/>
      <w:divBdr>
        <w:top w:val="none" w:sz="0" w:space="0" w:color="auto"/>
        <w:left w:val="none" w:sz="0" w:space="0" w:color="auto"/>
        <w:bottom w:val="none" w:sz="0" w:space="0" w:color="auto"/>
        <w:right w:val="none" w:sz="0" w:space="0" w:color="auto"/>
      </w:divBdr>
      <w:divsChild>
        <w:div w:id="540559439">
          <w:marLeft w:val="1800"/>
          <w:marRight w:val="0"/>
          <w:marTop w:val="91"/>
          <w:marBottom w:val="0"/>
          <w:divBdr>
            <w:top w:val="none" w:sz="0" w:space="0" w:color="auto"/>
            <w:left w:val="none" w:sz="0" w:space="0" w:color="auto"/>
            <w:bottom w:val="none" w:sz="0" w:space="0" w:color="auto"/>
            <w:right w:val="none" w:sz="0" w:space="0" w:color="auto"/>
          </w:divBdr>
        </w:div>
        <w:div w:id="831994053">
          <w:marLeft w:val="1800"/>
          <w:marRight w:val="0"/>
          <w:marTop w:val="91"/>
          <w:marBottom w:val="0"/>
          <w:divBdr>
            <w:top w:val="none" w:sz="0" w:space="0" w:color="auto"/>
            <w:left w:val="none" w:sz="0" w:space="0" w:color="auto"/>
            <w:bottom w:val="none" w:sz="0" w:space="0" w:color="auto"/>
            <w:right w:val="none" w:sz="0" w:space="0" w:color="auto"/>
          </w:divBdr>
        </w:div>
        <w:div w:id="891188595">
          <w:marLeft w:val="1166"/>
          <w:marRight w:val="0"/>
          <w:marTop w:val="106"/>
          <w:marBottom w:val="0"/>
          <w:divBdr>
            <w:top w:val="none" w:sz="0" w:space="0" w:color="auto"/>
            <w:left w:val="none" w:sz="0" w:space="0" w:color="auto"/>
            <w:bottom w:val="none" w:sz="0" w:space="0" w:color="auto"/>
            <w:right w:val="none" w:sz="0" w:space="0" w:color="auto"/>
          </w:divBdr>
        </w:div>
        <w:div w:id="1002244953">
          <w:marLeft w:val="1800"/>
          <w:marRight w:val="0"/>
          <w:marTop w:val="91"/>
          <w:marBottom w:val="0"/>
          <w:divBdr>
            <w:top w:val="none" w:sz="0" w:space="0" w:color="auto"/>
            <w:left w:val="none" w:sz="0" w:space="0" w:color="auto"/>
            <w:bottom w:val="none" w:sz="0" w:space="0" w:color="auto"/>
            <w:right w:val="none" w:sz="0" w:space="0" w:color="auto"/>
          </w:divBdr>
        </w:div>
        <w:div w:id="1129126657">
          <w:marLeft w:val="1800"/>
          <w:marRight w:val="0"/>
          <w:marTop w:val="91"/>
          <w:marBottom w:val="0"/>
          <w:divBdr>
            <w:top w:val="none" w:sz="0" w:space="0" w:color="auto"/>
            <w:left w:val="none" w:sz="0" w:space="0" w:color="auto"/>
            <w:bottom w:val="none" w:sz="0" w:space="0" w:color="auto"/>
            <w:right w:val="none" w:sz="0" w:space="0" w:color="auto"/>
          </w:divBdr>
        </w:div>
        <w:div w:id="1183201920">
          <w:marLeft w:val="2520"/>
          <w:marRight w:val="0"/>
          <w:marTop w:val="77"/>
          <w:marBottom w:val="0"/>
          <w:divBdr>
            <w:top w:val="none" w:sz="0" w:space="0" w:color="auto"/>
            <w:left w:val="none" w:sz="0" w:space="0" w:color="auto"/>
            <w:bottom w:val="none" w:sz="0" w:space="0" w:color="auto"/>
            <w:right w:val="none" w:sz="0" w:space="0" w:color="auto"/>
          </w:divBdr>
        </w:div>
        <w:div w:id="1363285920">
          <w:marLeft w:val="1166"/>
          <w:marRight w:val="0"/>
          <w:marTop w:val="106"/>
          <w:marBottom w:val="0"/>
          <w:divBdr>
            <w:top w:val="none" w:sz="0" w:space="0" w:color="auto"/>
            <w:left w:val="none" w:sz="0" w:space="0" w:color="auto"/>
            <w:bottom w:val="none" w:sz="0" w:space="0" w:color="auto"/>
            <w:right w:val="none" w:sz="0" w:space="0" w:color="auto"/>
          </w:divBdr>
        </w:div>
        <w:div w:id="1387604582">
          <w:marLeft w:val="2520"/>
          <w:marRight w:val="0"/>
          <w:marTop w:val="77"/>
          <w:marBottom w:val="0"/>
          <w:divBdr>
            <w:top w:val="none" w:sz="0" w:space="0" w:color="auto"/>
            <w:left w:val="none" w:sz="0" w:space="0" w:color="auto"/>
            <w:bottom w:val="none" w:sz="0" w:space="0" w:color="auto"/>
            <w:right w:val="none" w:sz="0" w:space="0" w:color="auto"/>
          </w:divBdr>
        </w:div>
        <w:div w:id="1388139134">
          <w:marLeft w:val="1166"/>
          <w:marRight w:val="0"/>
          <w:marTop w:val="106"/>
          <w:marBottom w:val="0"/>
          <w:divBdr>
            <w:top w:val="none" w:sz="0" w:space="0" w:color="auto"/>
            <w:left w:val="none" w:sz="0" w:space="0" w:color="auto"/>
            <w:bottom w:val="none" w:sz="0" w:space="0" w:color="auto"/>
            <w:right w:val="none" w:sz="0" w:space="0" w:color="auto"/>
          </w:divBdr>
        </w:div>
        <w:div w:id="1514761944">
          <w:marLeft w:val="1800"/>
          <w:marRight w:val="0"/>
          <w:marTop w:val="91"/>
          <w:marBottom w:val="0"/>
          <w:divBdr>
            <w:top w:val="none" w:sz="0" w:space="0" w:color="auto"/>
            <w:left w:val="none" w:sz="0" w:space="0" w:color="auto"/>
            <w:bottom w:val="none" w:sz="0" w:space="0" w:color="auto"/>
            <w:right w:val="none" w:sz="0" w:space="0" w:color="auto"/>
          </w:divBdr>
        </w:div>
        <w:div w:id="1751735353">
          <w:marLeft w:val="547"/>
          <w:marRight w:val="0"/>
          <w:marTop w:val="120"/>
          <w:marBottom w:val="0"/>
          <w:divBdr>
            <w:top w:val="none" w:sz="0" w:space="0" w:color="auto"/>
            <w:left w:val="none" w:sz="0" w:space="0" w:color="auto"/>
            <w:bottom w:val="none" w:sz="0" w:space="0" w:color="auto"/>
            <w:right w:val="none" w:sz="0" w:space="0" w:color="auto"/>
          </w:divBdr>
        </w:div>
        <w:div w:id="1800757284">
          <w:marLeft w:val="1800"/>
          <w:marRight w:val="0"/>
          <w:marTop w:val="91"/>
          <w:marBottom w:val="0"/>
          <w:divBdr>
            <w:top w:val="none" w:sz="0" w:space="0" w:color="auto"/>
            <w:left w:val="none" w:sz="0" w:space="0" w:color="auto"/>
            <w:bottom w:val="none" w:sz="0" w:space="0" w:color="auto"/>
            <w:right w:val="none" w:sz="0" w:space="0" w:color="auto"/>
          </w:divBdr>
        </w:div>
      </w:divsChild>
    </w:div>
    <w:div w:id="85228874">
      <w:bodyDiv w:val="1"/>
      <w:marLeft w:val="0"/>
      <w:marRight w:val="0"/>
      <w:marTop w:val="0"/>
      <w:marBottom w:val="0"/>
      <w:divBdr>
        <w:top w:val="none" w:sz="0" w:space="0" w:color="auto"/>
        <w:left w:val="none" w:sz="0" w:space="0" w:color="auto"/>
        <w:bottom w:val="none" w:sz="0" w:space="0" w:color="auto"/>
        <w:right w:val="none" w:sz="0" w:space="0" w:color="auto"/>
      </w:divBdr>
    </w:div>
    <w:div w:id="235096337">
      <w:bodyDiv w:val="1"/>
      <w:marLeft w:val="0"/>
      <w:marRight w:val="0"/>
      <w:marTop w:val="0"/>
      <w:marBottom w:val="0"/>
      <w:divBdr>
        <w:top w:val="none" w:sz="0" w:space="0" w:color="auto"/>
        <w:left w:val="none" w:sz="0" w:space="0" w:color="auto"/>
        <w:bottom w:val="none" w:sz="0" w:space="0" w:color="auto"/>
        <w:right w:val="none" w:sz="0" w:space="0" w:color="auto"/>
      </w:divBdr>
    </w:div>
    <w:div w:id="241069010">
      <w:bodyDiv w:val="1"/>
      <w:marLeft w:val="0"/>
      <w:marRight w:val="0"/>
      <w:marTop w:val="0"/>
      <w:marBottom w:val="0"/>
      <w:divBdr>
        <w:top w:val="none" w:sz="0" w:space="0" w:color="auto"/>
        <w:left w:val="none" w:sz="0" w:space="0" w:color="auto"/>
        <w:bottom w:val="none" w:sz="0" w:space="0" w:color="auto"/>
        <w:right w:val="none" w:sz="0" w:space="0" w:color="auto"/>
      </w:divBdr>
      <w:divsChild>
        <w:div w:id="1706248144">
          <w:marLeft w:val="1267"/>
          <w:marRight w:val="0"/>
          <w:marTop w:val="180"/>
          <w:marBottom w:val="0"/>
          <w:divBdr>
            <w:top w:val="none" w:sz="0" w:space="0" w:color="auto"/>
            <w:left w:val="none" w:sz="0" w:space="0" w:color="auto"/>
            <w:bottom w:val="none" w:sz="0" w:space="0" w:color="auto"/>
            <w:right w:val="none" w:sz="0" w:space="0" w:color="auto"/>
          </w:divBdr>
        </w:div>
        <w:div w:id="1731462712">
          <w:marLeft w:val="432"/>
          <w:marRight w:val="0"/>
          <w:marTop w:val="240"/>
          <w:marBottom w:val="0"/>
          <w:divBdr>
            <w:top w:val="none" w:sz="0" w:space="0" w:color="auto"/>
            <w:left w:val="none" w:sz="0" w:space="0" w:color="auto"/>
            <w:bottom w:val="none" w:sz="0" w:space="0" w:color="auto"/>
            <w:right w:val="none" w:sz="0" w:space="0" w:color="auto"/>
          </w:divBdr>
        </w:div>
      </w:divsChild>
    </w:div>
    <w:div w:id="263617652">
      <w:bodyDiv w:val="1"/>
      <w:marLeft w:val="0"/>
      <w:marRight w:val="0"/>
      <w:marTop w:val="0"/>
      <w:marBottom w:val="0"/>
      <w:divBdr>
        <w:top w:val="none" w:sz="0" w:space="0" w:color="auto"/>
        <w:left w:val="none" w:sz="0" w:space="0" w:color="auto"/>
        <w:bottom w:val="none" w:sz="0" w:space="0" w:color="auto"/>
        <w:right w:val="none" w:sz="0" w:space="0" w:color="auto"/>
      </w:divBdr>
    </w:div>
    <w:div w:id="295725958">
      <w:bodyDiv w:val="1"/>
      <w:marLeft w:val="0"/>
      <w:marRight w:val="0"/>
      <w:marTop w:val="0"/>
      <w:marBottom w:val="0"/>
      <w:divBdr>
        <w:top w:val="none" w:sz="0" w:space="0" w:color="auto"/>
        <w:left w:val="none" w:sz="0" w:space="0" w:color="auto"/>
        <w:bottom w:val="none" w:sz="0" w:space="0" w:color="auto"/>
        <w:right w:val="none" w:sz="0" w:space="0" w:color="auto"/>
      </w:divBdr>
    </w:div>
    <w:div w:id="369648941">
      <w:bodyDiv w:val="1"/>
      <w:marLeft w:val="0"/>
      <w:marRight w:val="0"/>
      <w:marTop w:val="0"/>
      <w:marBottom w:val="0"/>
      <w:divBdr>
        <w:top w:val="none" w:sz="0" w:space="0" w:color="auto"/>
        <w:left w:val="none" w:sz="0" w:space="0" w:color="auto"/>
        <w:bottom w:val="none" w:sz="0" w:space="0" w:color="auto"/>
        <w:right w:val="none" w:sz="0" w:space="0" w:color="auto"/>
      </w:divBdr>
      <w:divsChild>
        <w:div w:id="189151316">
          <w:marLeft w:val="274"/>
          <w:marRight w:val="0"/>
          <w:marTop w:val="0"/>
          <w:marBottom w:val="0"/>
          <w:divBdr>
            <w:top w:val="none" w:sz="0" w:space="0" w:color="auto"/>
            <w:left w:val="none" w:sz="0" w:space="0" w:color="auto"/>
            <w:bottom w:val="none" w:sz="0" w:space="0" w:color="auto"/>
            <w:right w:val="none" w:sz="0" w:space="0" w:color="auto"/>
          </w:divBdr>
        </w:div>
        <w:div w:id="1871333655">
          <w:marLeft w:val="274"/>
          <w:marRight w:val="0"/>
          <w:marTop w:val="0"/>
          <w:marBottom w:val="0"/>
          <w:divBdr>
            <w:top w:val="none" w:sz="0" w:space="0" w:color="auto"/>
            <w:left w:val="none" w:sz="0" w:space="0" w:color="auto"/>
            <w:bottom w:val="none" w:sz="0" w:space="0" w:color="auto"/>
            <w:right w:val="none" w:sz="0" w:space="0" w:color="auto"/>
          </w:divBdr>
        </w:div>
      </w:divsChild>
    </w:div>
    <w:div w:id="488443625">
      <w:bodyDiv w:val="1"/>
      <w:marLeft w:val="0"/>
      <w:marRight w:val="0"/>
      <w:marTop w:val="0"/>
      <w:marBottom w:val="0"/>
      <w:divBdr>
        <w:top w:val="none" w:sz="0" w:space="0" w:color="auto"/>
        <w:left w:val="none" w:sz="0" w:space="0" w:color="auto"/>
        <w:bottom w:val="none" w:sz="0" w:space="0" w:color="auto"/>
        <w:right w:val="none" w:sz="0" w:space="0" w:color="auto"/>
      </w:divBdr>
    </w:div>
    <w:div w:id="518395367">
      <w:bodyDiv w:val="1"/>
      <w:marLeft w:val="0"/>
      <w:marRight w:val="0"/>
      <w:marTop w:val="0"/>
      <w:marBottom w:val="0"/>
      <w:divBdr>
        <w:top w:val="none" w:sz="0" w:space="0" w:color="auto"/>
        <w:left w:val="none" w:sz="0" w:space="0" w:color="auto"/>
        <w:bottom w:val="none" w:sz="0" w:space="0" w:color="auto"/>
        <w:right w:val="none" w:sz="0" w:space="0" w:color="auto"/>
      </w:divBdr>
    </w:div>
    <w:div w:id="778255662">
      <w:bodyDiv w:val="1"/>
      <w:marLeft w:val="0"/>
      <w:marRight w:val="0"/>
      <w:marTop w:val="0"/>
      <w:marBottom w:val="0"/>
      <w:divBdr>
        <w:top w:val="none" w:sz="0" w:space="0" w:color="auto"/>
        <w:left w:val="none" w:sz="0" w:space="0" w:color="auto"/>
        <w:bottom w:val="none" w:sz="0" w:space="0" w:color="auto"/>
        <w:right w:val="none" w:sz="0" w:space="0" w:color="auto"/>
      </w:divBdr>
    </w:div>
    <w:div w:id="785386211">
      <w:bodyDiv w:val="1"/>
      <w:marLeft w:val="0"/>
      <w:marRight w:val="0"/>
      <w:marTop w:val="0"/>
      <w:marBottom w:val="0"/>
      <w:divBdr>
        <w:top w:val="none" w:sz="0" w:space="0" w:color="auto"/>
        <w:left w:val="none" w:sz="0" w:space="0" w:color="auto"/>
        <w:bottom w:val="none" w:sz="0" w:space="0" w:color="auto"/>
        <w:right w:val="none" w:sz="0" w:space="0" w:color="auto"/>
      </w:divBdr>
      <w:divsChild>
        <w:div w:id="1989507056">
          <w:marLeft w:val="288"/>
          <w:marRight w:val="0"/>
          <w:marTop w:val="0"/>
          <w:marBottom w:val="0"/>
          <w:divBdr>
            <w:top w:val="none" w:sz="0" w:space="0" w:color="auto"/>
            <w:left w:val="none" w:sz="0" w:space="0" w:color="auto"/>
            <w:bottom w:val="none" w:sz="0" w:space="0" w:color="auto"/>
            <w:right w:val="none" w:sz="0" w:space="0" w:color="auto"/>
          </w:divBdr>
        </w:div>
        <w:div w:id="371658205">
          <w:marLeft w:val="850"/>
          <w:marRight w:val="0"/>
          <w:marTop w:val="0"/>
          <w:marBottom w:val="0"/>
          <w:divBdr>
            <w:top w:val="none" w:sz="0" w:space="0" w:color="auto"/>
            <w:left w:val="none" w:sz="0" w:space="0" w:color="auto"/>
            <w:bottom w:val="none" w:sz="0" w:space="0" w:color="auto"/>
            <w:right w:val="none" w:sz="0" w:space="0" w:color="auto"/>
          </w:divBdr>
        </w:div>
        <w:div w:id="1648781210">
          <w:marLeft w:val="850"/>
          <w:marRight w:val="0"/>
          <w:marTop w:val="0"/>
          <w:marBottom w:val="0"/>
          <w:divBdr>
            <w:top w:val="none" w:sz="0" w:space="0" w:color="auto"/>
            <w:left w:val="none" w:sz="0" w:space="0" w:color="auto"/>
            <w:bottom w:val="none" w:sz="0" w:space="0" w:color="auto"/>
            <w:right w:val="none" w:sz="0" w:space="0" w:color="auto"/>
          </w:divBdr>
        </w:div>
        <w:div w:id="240719629">
          <w:marLeft w:val="850"/>
          <w:marRight w:val="0"/>
          <w:marTop w:val="0"/>
          <w:marBottom w:val="0"/>
          <w:divBdr>
            <w:top w:val="none" w:sz="0" w:space="0" w:color="auto"/>
            <w:left w:val="none" w:sz="0" w:space="0" w:color="auto"/>
            <w:bottom w:val="none" w:sz="0" w:space="0" w:color="auto"/>
            <w:right w:val="none" w:sz="0" w:space="0" w:color="auto"/>
          </w:divBdr>
        </w:div>
        <w:div w:id="227959615">
          <w:marLeft w:val="288"/>
          <w:marRight w:val="0"/>
          <w:marTop w:val="0"/>
          <w:marBottom w:val="0"/>
          <w:divBdr>
            <w:top w:val="none" w:sz="0" w:space="0" w:color="auto"/>
            <w:left w:val="none" w:sz="0" w:space="0" w:color="auto"/>
            <w:bottom w:val="none" w:sz="0" w:space="0" w:color="auto"/>
            <w:right w:val="none" w:sz="0" w:space="0" w:color="auto"/>
          </w:divBdr>
        </w:div>
        <w:div w:id="1829204612">
          <w:marLeft w:val="288"/>
          <w:marRight w:val="0"/>
          <w:marTop w:val="0"/>
          <w:marBottom w:val="0"/>
          <w:divBdr>
            <w:top w:val="none" w:sz="0" w:space="0" w:color="auto"/>
            <w:left w:val="none" w:sz="0" w:space="0" w:color="auto"/>
            <w:bottom w:val="none" w:sz="0" w:space="0" w:color="auto"/>
            <w:right w:val="none" w:sz="0" w:space="0" w:color="auto"/>
          </w:divBdr>
        </w:div>
        <w:div w:id="473377515">
          <w:marLeft w:val="288"/>
          <w:marRight w:val="0"/>
          <w:marTop w:val="0"/>
          <w:marBottom w:val="0"/>
          <w:divBdr>
            <w:top w:val="none" w:sz="0" w:space="0" w:color="auto"/>
            <w:left w:val="none" w:sz="0" w:space="0" w:color="auto"/>
            <w:bottom w:val="none" w:sz="0" w:space="0" w:color="auto"/>
            <w:right w:val="none" w:sz="0" w:space="0" w:color="auto"/>
          </w:divBdr>
        </w:div>
        <w:div w:id="1017728941">
          <w:marLeft w:val="288"/>
          <w:marRight w:val="0"/>
          <w:marTop w:val="0"/>
          <w:marBottom w:val="0"/>
          <w:divBdr>
            <w:top w:val="none" w:sz="0" w:space="0" w:color="auto"/>
            <w:left w:val="none" w:sz="0" w:space="0" w:color="auto"/>
            <w:bottom w:val="none" w:sz="0" w:space="0" w:color="auto"/>
            <w:right w:val="none" w:sz="0" w:space="0" w:color="auto"/>
          </w:divBdr>
        </w:div>
      </w:divsChild>
    </w:div>
    <w:div w:id="799106868">
      <w:bodyDiv w:val="1"/>
      <w:marLeft w:val="0"/>
      <w:marRight w:val="0"/>
      <w:marTop w:val="0"/>
      <w:marBottom w:val="0"/>
      <w:divBdr>
        <w:top w:val="none" w:sz="0" w:space="0" w:color="auto"/>
        <w:left w:val="none" w:sz="0" w:space="0" w:color="auto"/>
        <w:bottom w:val="none" w:sz="0" w:space="0" w:color="auto"/>
        <w:right w:val="none" w:sz="0" w:space="0" w:color="auto"/>
      </w:divBdr>
      <w:divsChild>
        <w:div w:id="1820032730">
          <w:marLeft w:val="547"/>
          <w:marRight w:val="0"/>
          <w:marTop w:val="144"/>
          <w:marBottom w:val="0"/>
          <w:divBdr>
            <w:top w:val="none" w:sz="0" w:space="0" w:color="auto"/>
            <w:left w:val="none" w:sz="0" w:space="0" w:color="auto"/>
            <w:bottom w:val="none" w:sz="0" w:space="0" w:color="auto"/>
            <w:right w:val="none" w:sz="0" w:space="0" w:color="auto"/>
          </w:divBdr>
        </w:div>
      </w:divsChild>
    </w:div>
    <w:div w:id="943226574">
      <w:bodyDiv w:val="1"/>
      <w:marLeft w:val="0"/>
      <w:marRight w:val="0"/>
      <w:marTop w:val="0"/>
      <w:marBottom w:val="0"/>
      <w:divBdr>
        <w:top w:val="none" w:sz="0" w:space="0" w:color="auto"/>
        <w:left w:val="none" w:sz="0" w:space="0" w:color="auto"/>
        <w:bottom w:val="none" w:sz="0" w:space="0" w:color="auto"/>
        <w:right w:val="none" w:sz="0" w:space="0" w:color="auto"/>
      </w:divBdr>
    </w:div>
    <w:div w:id="944532400">
      <w:bodyDiv w:val="1"/>
      <w:marLeft w:val="0"/>
      <w:marRight w:val="0"/>
      <w:marTop w:val="0"/>
      <w:marBottom w:val="0"/>
      <w:divBdr>
        <w:top w:val="none" w:sz="0" w:space="0" w:color="auto"/>
        <w:left w:val="none" w:sz="0" w:space="0" w:color="auto"/>
        <w:bottom w:val="none" w:sz="0" w:space="0" w:color="auto"/>
        <w:right w:val="none" w:sz="0" w:space="0" w:color="auto"/>
      </w:divBdr>
    </w:div>
    <w:div w:id="952323757">
      <w:bodyDiv w:val="1"/>
      <w:marLeft w:val="0"/>
      <w:marRight w:val="0"/>
      <w:marTop w:val="0"/>
      <w:marBottom w:val="0"/>
      <w:divBdr>
        <w:top w:val="none" w:sz="0" w:space="0" w:color="auto"/>
        <w:left w:val="none" w:sz="0" w:space="0" w:color="auto"/>
        <w:bottom w:val="none" w:sz="0" w:space="0" w:color="auto"/>
        <w:right w:val="none" w:sz="0" w:space="0" w:color="auto"/>
      </w:divBdr>
    </w:div>
    <w:div w:id="1052651473">
      <w:bodyDiv w:val="1"/>
      <w:marLeft w:val="0"/>
      <w:marRight w:val="0"/>
      <w:marTop w:val="0"/>
      <w:marBottom w:val="0"/>
      <w:divBdr>
        <w:top w:val="none" w:sz="0" w:space="0" w:color="auto"/>
        <w:left w:val="none" w:sz="0" w:space="0" w:color="auto"/>
        <w:bottom w:val="none" w:sz="0" w:space="0" w:color="auto"/>
        <w:right w:val="none" w:sz="0" w:space="0" w:color="auto"/>
      </w:divBdr>
    </w:div>
    <w:div w:id="1099567628">
      <w:bodyDiv w:val="1"/>
      <w:marLeft w:val="0"/>
      <w:marRight w:val="0"/>
      <w:marTop w:val="0"/>
      <w:marBottom w:val="0"/>
      <w:divBdr>
        <w:top w:val="none" w:sz="0" w:space="0" w:color="auto"/>
        <w:left w:val="none" w:sz="0" w:space="0" w:color="auto"/>
        <w:bottom w:val="none" w:sz="0" w:space="0" w:color="auto"/>
        <w:right w:val="none" w:sz="0" w:space="0" w:color="auto"/>
      </w:divBdr>
      <w:divsChild>
        <w:div w:id="308872791">
          <w:marLeft w:val="1800"/>
          <w:marRight w:val="0"/>
          <w:marTop w:val="106"/>
          <w:marBottom w:val="0"/>
          <w:divBdr>
            <w:top w:val="none" w:sz="0" w:space="0" w:color="auto"/>
            <w:left w:val="none" w:sz="0" w:space="0" w:color="auto"/>
            <w:bottom w:val="none" w:sz="0" w:space="0" w:color="auto"/>
            <w:right w:val="none" w:sz="0" w:space="0" w:color="auto"/>
          </w:divBdr>
        </w:div>
        <w:div w:id="564605613">
          <w:marLeft w:val="1166"/>
          <w:marRight w:val="0"/>
          <w:marTop w:val="125"/>
          <w:marBottom w:val="0"/>
          <w:divBdr>
            <w:top w:val="none" w:sz="0" w:space="0" w:color="auto"/>
            <w:left w:val="none" w:sz="0" w:space="0" w:color="auto"/>
            <w:bottom w:val="none" w:sz="0" w:space="0" w:color="auto"/>
            <w:right w:val="none" w:sz="0" w:space="0" w:color="auto"/>
          </w:divBdr>
        </w:div>
        <w:div w:id="695693737">
          <w:marLeft w:val="547"/>
          <w:marRight w:val="0"/>
          <w:marTop w:val="144"/>
          <w:marBottom w:val="0"/>
          <w:divBdr>
            <w:top w:val="none" w:sz="0" w:space="0" w:color="auto"/>
            <w:left w:val="none" w:sz="0" w:space="0" w:color="auto"/>
            <w:bottom w:val="none" w:sz="0" w:space="0" w:color="auto"/>
            <w:right w:val="none" w:sz="0" w:space="0" w:color="auto"/>
          </w:divBdr>
        </w:div>
        <w:div w:id="1098939225">
          <w:marLeft w:val="1800"/>
          <w:marRight w:val="0"/>
          <w:marTop w:val="106"/>
          <w:marBottom w:val="0"/>
          <w:divBdr>
            <w:top w:val="none" w:sz="0" w:space="0" w:color="auto"/>
            <w:left w:val="none" w:sz="0" w:space="0" w:color="auto"/>
            <w:bottom w:val="none" w:sz="0" w:space="0" w:color="auto"/>
            <w:right w:val="none" w:sz="0" w:space="0" w:color="auto"/>
          </w:divBdr>
        </w:div>
        <w:div w:id="1125588277">
          <w:marLeft w:val="1166"/>
          <w:marRight w:val="0"/>
          <w:marTop w:val="125"/>
          <w:marBottom w:val="0"/>
          <w:divBdr>
            <w:top w:val="none" w:sz="0" w:space="0" w:color="auto"/>
            <w:left w:val="none" w:sz="0" w:space="0" w:color="auto"/>
            <w:bottom w:val="none" w:sz="0" w:space="0" w:color="auto"/>
            <w:right w:val="none" w:sz="0" w:space="0" w:color="auto"/>
          </w:divBdr>
        </w:div>
        <w:div w:id="1246650918">
          <w:marLeft w:val="1800"/>
          <w:marRight w:val="0"/>
          <w:marTop w:val="106"/>
          <w:marBottom w:val="0"/>
          <w:divBdr>
            <w:top w:val="none" w:sz="0" w:space="0" w:color="auto"/>
            <w:left w:val="none" w:sz="0" w:space="0" w:color="auto"/>
            <w:bottom w:val="none" w:sz="0" w:space="0" w:color="auto"/>
            <w:right w:val="none" w:sz="0" w:space="0" w:color="auto"/>
          </w:divBdr>
        </w:div>
        <w:div w:id="1356079054">
          <w:marLeft w:val="547"/>
          <w:marRight w:val="0"/>
          <w:marTop w:val="144"/>
          <w:marBottom w:val="0"/>
          <w:divBdr>
            <w:top w:val="none" w:sz="0" w:space="0" w:color="auto"/>
            <w:left w:val="none" w:sz="0" w:space="0" w:color="auto"/>
            <w:bottom w:val="none" w:sz="0" w:space="0" w:color="auto"/>
            <w:right w:val="none" w:sz="0" w:space="0" w:color="auto"/>
          </w:divBdr>
        </w:div>
        <w:div w:id="2079286301">
          <w:marLeft w:val="1166"/>
          <w:marRight w:val="0"/>
          <w:marTop w:val="125"/>
          <w:marBottom w:val="0"/>
          <w:divBdr>
            <w:top w:val="none" w:sz="0" w:space="0" w:color="auto"/>
            <w:left w:val="none" w:sz="0" w:space="0" w:color="auto"/>
            <w:bottom w:val="none" w:sz="0" w:space="0" w:color="auto"/>
            <w:right w:val="none" w:sz="0" w:space="0" w:color="auto"/>
          </w:divBdr>
        </w:div>
        <w:div w:id="2087416189">
          <w:marLeft w:val="1166"/>
          <w:marRight w:val="0"/>
          <w:marTop w:val="125"/>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50486622">
      <w:bodyDiv w:val="1"/>
      <w:marLeft w:val="0"/>
      <w:marRight w:val="0"/>
      <w:marTop w:val="0"/>
      <w:marBottom w:val="0"/>
      <w:divBdr>
        <w:top w:val="none" w:sz="0" w:space="0" w:color="auto"/>
        <w:left w:val="none" w:sz="0" w:space="0" w:color="auto"/>
        <w:bottom w:val="none" w:sz="0" w:space="0" w:color="auto"/>
        <w:right w:val="none" w:sz="0" w:space="0" w:color="auto"/>
      </w:divBdr>
    </w:div>
    <w:div w:id="1285650859">
      <w:bodyDiv w:val="1"/>
      <w:marLeft w:val="0"/>
      <w:marRight w:val="0"/>
      <w:marTop w:val="0"/>
      <w:marBottom w:val="0"/>
      <w:divBdr>
        <w:top w:val="none" w:sz="0" w:space="0" w:color="auto"/>
        <w:left w:val="none" w:sz="0" w:space="0" w:color="auto"/>
        <w:bottom w:val="none" w:sz="0" w:space="0" w:color="auto"/>
        <w:right w:val="none" w:sz="0" w:space="0" w:color="auto"/>
      </w:divBdr>
    </w:div>
    <w:div w:id="1356342149">
      <w:bodyDiv w:val="1"/>
      <w:marLeft w:val="0"/>
      <w:marRight w:val="0"/>
      <w:marTop w:val="0"/>
      <w:marBottom w:val="0"/>
      <w:divBdr>
        <w:top w:val="none" w:sz="0" w:space="0" w:color="auto"/>
        <w:left w:val="none" w:sz="0" w:space="0" w:color="auto"/>
        <w:bottom w:val="none" w:sz="0" w:space="0" w:color="auto"/>
        <w:right w:val="none" w:sz="0" w:space="0" w:color="auto"/>
      </w:divBdr>
    </w:div>
    <w:div w:id="1506356677">
      <w:bodyDiv w:val="1"/>
      <w:marLeft w:val="0"/>
      <w:marRight w:val="0"/>
      <w:marTop w:val="0"/>
      <w:marBottom w:val="0"/>
      <w:divBdr>
        <w:top w:val="none" w:sz="0" w:space="0" w:color="auto"/>
        <w:left w:val="none" w:sz="0" w:space="0" w:color="auto"/>
        <w:bottom w:val="none" w:sz="0" w:space="0" w:color="auto"/>
        <w:right w:val="none" w:sz="0" w:space="0" w:color="auto"/>
      </w:divBdr>
    </w:div>
    <w:div w:id="1617910569">
      <w:bodyDiv w:val="1"/>
      <w:marLeft w:val="0"/>
      <w:marRight w:val="0"/>
      <w:marTop w:val="0"/>
      <w:marBottom w:val="0"/>
      <w:divBdr>
        <w:top w:val="none" w:sz="0" w:space="0" w:color="auto"/>
        <w:left w:val="none" w:sz="0" w:space="0" w:color="auto"/>
        <w:bottom w:val="none" w:sz="0" w:space="0" w:color="auto"/>
        <w:right w:val="none" w:sz="0" w:space="0" w:color="auto"/>
      </w:divBdr>
      <w:divsChild>
        <w:div w:id="925919365">
          <w:marLeft w:val="547"/>
          <w:marRight w:val="0"/>
          <w:marTop w:val="62"/>
          <w:marBottom w:val="0"/>
          <w:divBdr>
            <w:top w:val="none" w:sz="0" w:space="0" w:color="auto"/>
            <w:left w:val="none" w:sz="0" w:space="0" w:color="auto"/>
            <w:bottom w:val="none" w:sz="0" w:space="0" w:color="auto"/>
            <w:right w:val="none" w:sz="0" w:space="0" w:color="auto"/>
          </w:divBdr>
        </w:div>
        <w:div w:id="2121366599">
          <w:marLeft w:val="547"/>
          <w:marRight w:val="0"/>
          <w:marTop w:val="62"/>
          <w:marBottom w:val="0"/>
          <w:divBdr>
            <w:top w:val="none" w:sz="0" w:space="0" w:color="auto"/>
            <w:left w:val="none" w:sz="0" w:space="0" w:color="auto"/>
            <w:bottom w:val="none" w:sz="0" w:space="0" w:color="auto"/>
            <w:right w:val="none" w:sz="0" w:space="0" w:color="auto"/>
          </w:divBdr>
        </w:div>
      </w:divsChild>
    </w:div>
    <w:div w:id="1735928156">
      <w:bodyDiv w:val="1"/>
      <w:marLeft w:val="0"/>
      <w:marRight w:val="0"/>
      <w:marTop w:val="0"/>
      <w:marBottom w:val="0"/>
      <w:divBdr>
        <w:top w:val="none" w:sz="0" w:space="0" w:color="auto"/>
        <w:left w:val="none" w:sz="0" w:space="0" w:color="auto"/>
        <w:bottom w:val="none" w:sz="0" w:space="0" w:color="auto"/>
        <w:right w:val="none" w:sz="0" w:space="0" w:color="auto"/>
      </w:divBdr>
    </w:div>
    <w:div w:id="1797094425">
      <w:bodyDiv w:val="1"/>
      <w:marLeft w:val="0"/>
      <w:marRight w:val="0"/>
      <w:marTop w:val="0"/>
      <w:marBottom w:val="0"/>
      <w:divBdr>
        <w:top w:val="none" w:sz="0" w:space="0" w:color="auto"/>
        <w:left w:val="none" w:sz="0" w:space="0" w:color="auto"/>
        <w:bottom w:val="none" w:sz="0" w:space="0" w:color="auto"/>
        <w:right w:val="none" w:sz="0" w:space="0" w:color="auto"/>
      </w:divBdr>
      <w:divsChild>
        <w:div w:id="474877434">
          <w:marLeft w:val="547"/>
          <w:marRight w:val="0"/>
          <w:marTop w:val="62"/>
          <w:marBottom w:val="0"/>
          <w:divBdr>
            <w:top w:val="none" w:sz="0" w:space="0" w:color="auto"/>
            <w:left w:val="none" w:sz="0" w:space="0" w:color="auto"/>
            <w:bottom w:val="none" w:sz="0" w:space="0" w:color="auto"/>
            <w:right w:val="none" w:sz="0" w:space="0" w:color="auto"/>
          </w:divBdr>
        </w:div>
        <w:div w:id="488012924">
          <w:marLeft w:val="547"/>
          <w:marRight w:val="0"/>
          <w:marTop w:val="62"/>
          <w:marBottom w:val="0"/>
          <w:divBdr>
            <w:top w:val="none" w:sz="0" w:space="0" w:color="auto"/>
            <w:left w:val="none" w:sz="0" w:space="0" w:color="auto"/>
            <w:bottom w:val="none" w:sz="0" w:space="0" w:color="auto"/>
            <w:right w:val="none" w:sz="0" w:space="0" w:color="auto"/>
          </w:divBdr>
        </w:div>
        <w:div w:id="1090656427">
          <w:marLeft w:val="547"/>
          <w:marRight w:val="0"/>
          <w:marTop w:val="62"/>
          <w:marBottom w:val="0"/>
          <w:divBdr>
            <w:top w:val="none" w:sz="0" w:space="0" w:color="auto"/>
            <w:left w:val="none" w:sz="0" w:space="0" w:color="auto"/>
            <w:bottom w:val="none" w:sz="0" w:space="0" w:color="auto"/>
            <w:right w:val="none" w:sz="0" w:space="0" w:color="auto"/>
          </w:divBdr>
        </w:div>
        <w:div w:id="1170173291">
          <w:marLeft w:val="547"/>
          <w:marRight w:val="0"/>
          <w:marTop w:val="62"/>
          <w:marBottom w:val="0"/>
          <w:divBdr>
            <w:top w:val="none" w:sz="0" w:space="0" w:color="auto"/>
            <w:left w:val="none" w:sz="0" w:space="0" w:color="auto"/>
            <w:bottom w:val="none" w:sz="0" w:space="0" w:color="auto"/>
            <w:right w:val="none" w:sz="0" w:space="0" w:color="auto"/>
          </w:divBdr>
        </w:div>
        <w:div w:id="1326545411">
          <w:marLeft w:val="547"/>
          <w:marRight w:val="0"/>
          <w:marTop w:val="62"/>
          <w:marBottom w:val="0"/>
          <w:divBdr>
            <w:top w:val="none" w:sz="0" w:space="0" w:color="auto"/>
            <w:left w:val="none" w:sz="0" w:space="0" w:color="auto"/>
            <w:bottom w:val="none" w:sz="0" w:space="0" w:color="auto"/>
            <w:right w:val="none" w:sz="0" w:space="0" w:color="auto"/>
          </w:divBdr>
        </w:div>
        <w:div w:id="1621646222">
          <w:marLeft w:val="547"/>
          <w:marRight w:val="0"/>
          <w:marTop w:val="62"/>
          <w:marBottom w:val="0"/>
          <w:divBdr>
            <w:top w:val="none" w:sz="0" w:space="0" w:color="auto"/>
            <w:left w:val="none" w:sz="0" w:space="0" w:color="auto"/>
            <w:bottom w:val="none" w:sz="0" w:space="0" w:color="auto"/>
            <w:right w:val="none" w:sz="0" w:space="0" w:color="auto"/>
          </w:divBdr>
        </w:div>
      </w:divsChild>
    </w:div>
    <w:div w:id="1804957661">
      <w:bodyDiv w:val="1"/>
      <w:marLeft w:val="0"/>
      <w:marRight w:val="0"/>
      <w:marTop w:val="0"/>
      <w:marBottom w:val="0"/>
      <w:divBdr>
        <w:top w:val="none" w:sz="0" w:space="0" w:color="auto"/>
        <w:left w:val="none" w:sz="0" w:space="0" w:color="auto"/>
        <w:bottom w:val="none" w:sz="0" w:space="0" w:color="auto"/>
        <w:right w:val="none" w:sz="0" w:space="0" w:color="auto"/>
      </w:divBdr>
    </w:div>
    <w:div w:id="1806392467">
      <w:bodyDiv w:val="1"/>
      <w:marLeft w:val="0"/>
      <w:marRight w:val="0"/>
      <w:marTop w:val="0"/>
      <w:marBottom w:val="0"/>
      <w:divBdr>
        <w:top w:val="none" w:sz="0" w:space="0" w:color="auto"/>
        <w:left w:val="none" w:sz="0" w:space="0" w:color="auto"/>
        <w:bottom w:val="none" w:sz="0" w:space="0" w:color="auto"/>
        <w:right w:val="none" w:sz="0" w:space="0" w:color="auto"/>
      </w:divBdr>
      <w:divsChild>
        <w:div w:id="815338019">
          <w:marLeft w:val="446"/>
          <w:marRight w:val="0"/>
          <w:marTop w:val="0"/>
          <w:marBottom w:val="0"/>
          <w:divBdr>
            <w:top w:val="none" w:sz="0" w:space="0" w:color="auto"/>
            <w:left w:val="none" w:sz="0" w:space="0" w:color="auto"/>
            <w:bottom w:val="none" w:sz="0" w:space="0" w:color="auto"/>
            <w:right w:val="none" w:sz="0" w:space="0" w:color="auto"/>
          </w:divBdr>
        </w:div>
        <w:div w:id="1480608052">
          <w:marLeft w:val="1166"/>
          <w:marRight w:val="0"/>
          <w:marTop w:val="0"/>
          <w:marBottom w:val="0"/>
          <w:divBdr>
            <w:top w:val="none" w:sz="0" w:space="0" w:color="auto"/>
            <w:left w:val="none" w:sz="0" w:space="0" w:color="auto"/>
            <w:bottom w:val="none" w:sz="0" w:space="0" w:color="auto"/>
            <w:right w:val="none" w:sz="0" w:space="0" w:color="auto"/>
          </w:divBdr>
        </w:div>
      </w:divsChild>
    </w:div>
    <w:div w:id="1845823832">
      <w:bodyDiv w:val="1"/>
      <w:marLeft w:val="0"/>
      <w:marRight w:val="0"/>
      <w:marTop w:val="0"/>
      <w:marBottom w:val="0"/>
      <w:divBdr>
        <w:top w:val="none" w:sz="0" w:space="0" w:color="auto"/>
        <w:left w:val="none" w:sz="0" w:space="0" w:color="auto"/>
        <w:bottom w:val="none" w:sz="0" w:space="0" w:color="auto"/>
        <w:right w:val="none" w:sz="0" w:space="0" w:color="auto"/>
      </w:divBdr>
      <w:divsChild>
        <w:div w:id="1287352411">
          <w:marLeft w:val="2261"/>
          <w:marRight w:val="0"/>
          <w:marTop w:val="86"/>
          <w:marBottom w:val="0"/>
          <w:divBdr>
            <w:top w:val="none" w:sz="0" w:space="0" w:color="auto"/>
            <w:left w:val="none" w:sz="0" w:space="0" w:color="auto"/>
            <w:bottom w:val="none" w:sz="0" w:space="0" w:color="auto"/>
            <w:right w:val="none" w:sz="0" w:space="0" w:color="auto"/>
          </w:divBdr>
        </w:div>
      </w:divsChild>
    </w:div>
    <w:div w:id="1947418348">
      <w:bodyDiv w:val="1"/>
      <w:marLeft w:val="0"/>
      <w:marRight w:val="0"/>
      <w:marTop w:val="0"/>
      <w:marBottom w:val="0"/>
      <w:divBdr>
        <w:top w:val="none" w:sz="0" w:space="0" w:color="auto"/>
        <w:left w:val="none" w:sz="0" w:space="0" w:color="auto"/>
        <w:bottom w:val="none" w:sz="0" w:space="0" w:color="auto"/>
        <w:right w:val="none" w:sz="0" w:space="0" w:color="auto"/>
      </w:divBdr>
    </w:div>
    <w:div w:id="1972710878">
      <w:bodyDiv w:val="1"/>
      <w:marLeft w:val="0"/>
      <w:marRight w:val="0"/>
      <w:marTop w:val="0"/>
      <w:marBottom w:val="0"/>
      <w:divBdr>
        <w:top w:val="none" w:sz="0" w:space="0" w:color="auto"/>
        <w:left w:val="none" w:sz="0" w:space="0" w:color="auto"/>
        <w:bottom w:val="none" w:sz="0" w:space="0" w:color="auto"/>
        <w:right w:val="none" w:sz="0" w:space="0" w:color="auto"/>
      </w:divBdr>
    </w:div>
    <w:div w:id="1990359992">
      <w:bodyDiv w:val="1"/>
      <w:marLeft w:val="0"/>
      <w:marRight w:val="0"/>
      <w:marTop w:val="0"/>
      <w:marBottom w:val="0"/>
      <w:divBdr>
        <w:top w:val="none" w:sz="0" w:space="0" w:color="auto"/>
        <w:left w:val="none" w:sz="0" w:space="0" w:color="auto"/>
        <w:bottom w:val="none" w:sz="0" w:space="0" w:color="auto"/>
        <w:right w:val="none" w:sz="0" w:space="0" w:color="auto"/>
      </w:divBdr>
    </w:div>
    <w:div w:id="1999843407">
      <w:bodyDiv w:val="1"/>
      <w:marLeft w:val="0"/>
      <w:marRight w:val="0"/>
      <w:marTop w:val="0"/>
      <w:marBottom w:val="0"/>
      <w:divBdr>
        <w:top w:val="none" w:sz="0" w:space="0" w:color="auto"/>
        <w:left w:val="none" w:sz="0" w:space="0" w:color="auto"/>
        <w:bottom w:val="none" w:sz="0" w:space="0" w:color="auto"/>
        <w:right w:val="none" w:sz="0" w:space="0" w:color="auto"/>
      </w:divBdr>
      <w:divsChild>
        <w:div w:id="409500904">
          <w:marLeft w:val="547"/>
          <w:marRight w:val="0"/>
          <w:marTop w:val="106"/>
          <w:marBottom w:val="0"/>
          <w:divBdr>
            <w:top w:val="none" w:sz="0" w:space="0" w:color="auto"/>
            <w:left w:val="none" w:sz="0" w:space="0" w:color="auto"/>
            <w:bottom w:val="none" w:sz="0" w:space="0" w:color="auto"/>
            <w:right w:val="none" w:sz="0" w:space="0" w:color="auto"/>
          </w:divBdr>
        </w:div>
        <w:div w:id="831290842">
          <w:marLeft w:val="1166"/>
          <w:marRight w:val="0"/>
          <w:marTop w:val="96"/>
          <w:marBottom w:val="0"/>
          <w:divBdr>
            <w:top w:val="none" w:sz="0" w:space="0" w:color="auto"/>
            <w:left w:val="none" w:sz="0" w:space="0" w:color="auto"/>
            <w:bottom w:val="none" w:sz="0" w:space="0" w:color="auto"/>
            <w:right w:val="none" w:sz="0" w:space="0" w:color="auto"/>
          </w:divBdr>
        </w:div>
        <w:div w:id="1072238395">
          <w:marLeft w:val="1166"/>
          <w:marRight w:val="0"/>
          <w:marTop w:val="96"/>
          <w:marBottom w:val="0"/>
          <w:divBdr>
            <w:top w:val="none" w:sz="0" w:space="0" w:color="auto"/>
            <w:left w:val="none" w:sz="0" w:space="0" w:color="auto"/>
            <w:bottom w:val="none" w:sz="0" w:space="0" w:color="auto"/>
            <w:right w:val="none" w:sz="0" w:space="0" w:color="auto"/>
          </w:divBdr>
        </w:div>
        <w:div w:id="1322925531">
          <w:marLeft w:val="1166"/>
          <w:marRight w:val="0"/>
          <w:marTop w:val="96"/>
          <w:marBottom w:val="0"/>
          <w:divBdr>
            <w:top w:val="none" w:sz="0" w:space="0" w:color="auto"/>
            <w:left w:val="none" w:sz="0" w:space="0" w:color="auto"/>
            <w:bottom w:val="none" w:sz="0" w:space="0" w:color="auto"/>
            <w:right w:val="none" w:sz="0" w:space="0" w:color="auto"/>
          </w:divBdr>
        </w:div>
        <w:div w:id="1414550675">
          <w:marLeft w:val="547"/>
          <w:marRight w:val="0"/>
          <w:marTop w:val="106"/>
          <w:marBottom w:val="0"/>
          <w:divBdr>
            <w:top w:val="none" w:sz="0" w:space="0" w:color="auto"/>
            <w:left w:val="none" w:sz="0" w:space="0" w:color="auto"/>
            <w:bottom w:val="none" w:sz="0" w:space="0" w:color="auto"/>
            <w:right w:val="none" w:sz="0" w:space="0" w:color="auto"/>
          </w:divBdr>
        </w:div>
        <w:div w:id="1502352482">
          <w:marLeft w:val="1166"/>
          <w:marRight w:val="0"/>
          <w:marTop w:val="96"/>
          <w:marBottom w:val="0"/>
          <w:divBdr>
            <w:top w:val="none" w:sz="0" w:space="0" w:color="auto"/>
            <w:left w:val="none" w:sz="0" w:space="0" w:color="auto"/>
            <w:bottom w:val="none" w:sz="0" w:space="0" w:color="auto"/>
            <w:right w:val="none" w:sz="0" w:space="0" w:color="auto"/>
          </w:divBdr>
        </w:div>
        <w:div w:id="1554656471">
          <w:marLeft w:val="1166"/>
          <w:marRight w:val="0"/>
          <w:marTop w:val="96"/>
          <w:marBottom w:val="0"/>
          <w:divBdr>
            <w:top w:val="none" w:sz="0" w:space="0" w:color="auto"/>
            <w:left w:val="none" w:sz="0" w:space="0" w:color="auto"/>
            <w:bottom w:val="none" w:sz="0" w:space="0" w:color="auto"/>
            <w:right w:val="none" w:sz="0" w:space="0" w:color="auto"/>
          </w:divBdr>
        </w:div>
        <w:div w:id="1814903107">
          <w:marLeft w:val="1166"/>
          <w:marRight w:val="0"/>
          <w:marTop w:val="9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4330697">
      <w:bodyDiv w:val="1"/>
      <w:marLeft w:val="0"/>
      <w:marRight w:val="0"/>
      <w:marTop w:val="0"/>
      <w:marBottom w:val="0"/>
      <w:divBdr>
        <w:top w:val="none" w:sz="0" w:space="0" w:color="auto"/>
        <w:left w:val="none" w:sz="0" w:space="0" w:color="auto"/>
        <w:bottom w:val="none" w:sz="0" w:space="0" w:color="auto"/>
        <w:right w:val="none" w:sz="0" w:space="0" w:color="auto"/>
      </w:divBdr>
    </w:div>
    <w:div w:id="2122801834">
      <w:bodyDiv w:val="1"/>
      <w:marLeft w:val="0"/>
      <w:marRight w:val="0"/>
      <w:marTop w:val="0"/>
      <w:marBottom w:val="0"/>
      <w:divBdr>
        <w:top w:val="none" w:sz="0" w:space="0" w:color="auto"/>
        <w:left w:val="none" w:sz="0" w:space="0" w:color="auto"/>
        <w:bottom w:val="none" w:sz="0" w:space="0" w:color="auto"/>
        <w:right w:val="none" w:sz="0" w:space="0" w:color="auto"/>
      </w:divBdr>
    </w:div>
    <w:div w:id="2136825051">
      <w:bodyDiv w:val="1"/>
      <w:marLeft w:val="0"/>
      <w:marRight w:val="0"/>
      <w:marTop w:val="0"/>
      <w:marBottom w:val="0"/>
      <w:divBdr>
        <w:top w:val="none" w:sz="0" w:space="0" w:color="auto"/>
        <w:left w:val="none" w:sz="0" w:space="0" w:color="auto"/>
        <w:bottom w:val="none" w:sz="0" w:space="0" w:color="auto"/>
        <w:right w:val="none" w:sz="0" w:space="0" w:color="auto"/>
      </w:divBdr>
      <w:divsChild>
        <w:div w:id="1207569836">
          <w:marLeft w:val="2520"/>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FADF51-7BD0-4FDD-9238-F1FF11D53468}">
  <ds:schemaRefs>
    <ds:schemaRef ds:uri="http://schemas.microsoft.com/sharepoint/v3/contenttype/forms"/>
  </ds:schemaRefs>
</ds:datastoreItem>
</file>

<file path=customXml/itemProps2.xml><?xml version="1.0" encoding="utf-8"?>
<ds:datastoreItem xmlns:ds="http://schemas.openxmlformats.org/officeDocument/2006/customXml" ds:itemID="{A7DFF46F-D909-4258-9594-7CA2EAC91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BF921F-FC08-475C-A967-16BF2E052A2E}">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97A42D83-FF87-432B-9D78-83CD72E6F29C}">
  <ds:schemaRefs>
    <ds:schemaRef ds:uri="http://schemas.microsoft.com/office/2006/metadata/longProperties"/>
  </ds:schemaRefs>
</ds:datastoreItem>
</file>

<file path=customXml/itemProps5.xml><?xml version="1.0" encoding="utf-8"?>
<ds:datastoreItem xmlns:ds="http://schemas.openxmlformats.org/officeDocument/2006/customXml" ds:itemID="{A5057A25-36D7-457C-8152-B7AAF2E5D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Pages>
  <Words>903</Words>
  <Characters>5149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15 |14 | 13 |12)</dc:subject>
  <dc:creator>MCC Support;MediaTek</dc:creator>
  <cp:keywords>&lt;keyword[, keyword]&gt;</cp:keywords>
  <cp:lastModifiedBy>Chienhwa Hwang (黃建華)</cp:lastModifiedBy>
  <cp:revision>9</cp:revision>
  <dcterms:created xsi:type="dcterms:W3CDTF">2019-08-16T11:13:00Z</dcterms:created>
  <dcterms:modified xsi:type="dcterms:W3CDTF">2019-08-16T11:46:00Z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echnical_x0020_Type">
    <vt:lpwstr/>
  </property>
  <property fmtid="{D5CDD505-2E9C-101B-9397-08002B2CF9AE}" pid="4" name="Document_x0020_Type">
    <vt:lpwstr/>
  </property>
</Properties>
</file>